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7AA36" w14:textId="00C39909" w:rsidR="00A64EA8" w:rsidRDefault="00834A4B" w:rsidP="00A64EA8">
      <w:pPr>
        <w:ind w:left="360"/>
        <w:jc w:val="center"/>
        <w:rPr>
          <w:rFonts w:ascii="Arial" w:hAnsi="Arial" w:cs="Arial"/>
          <w:b/>
          <w:i/>
        </w:rPr>
      </w:pPr>
      <w:r w:rsidRPr="00273047">
        <w:rPr>
          <w:rFonts w:ascii="Arial" w:hAnsi="Arial" w:cs="Arial"/>
          <w:b/>
        </w:rPr>
        <w:t>OBRAZLOŽENJE</w:t>
      </w:r>
      <w:r w:rsidR="00105301">
        <w:rPr>
          <w:rFonts w:ascii="Arial" w:hAnsi="Arial" w:cs="Arial"/>
          <w:b/>
        </w:rPr>
        <w:t xml:space="preserve"> IZVRŠENJA</w:t>
      </w:r>
      <w:r w:rsidRPr="00273047">
        <w:rPr>
          <w:rFonts w:ascii="Arial" w:hAnsi="Arial" w:cs="Arial"/>
          <w:b/>
        </w:rPr>
        <w:t xml:space="preserve"> FINANCIJSKOG PLANA</w:t>
      </w:r>
      <w:r w:rsidR="00105301">
        <w:rPr>
          <w:rFonts w:ascii="Arial" w:hAnsi="Arial" w:cs="Arial"/>
          <w:b/>
        </w:rPr>
        <w:t xml:space="preserve"> ZA 2025.G.</w:t>
      </w:r>
    </w:p>
    <w:p w14:paraId="59A2D2D0" w14:textId="77777777" w:rsidR="0006618C" w:rsidRDefault="0006618C" w:rsidP="001C2B7F">
      <w:pPr>
        <w:spacing w:after="0" w:line="240" w:lineRule="auto"/>
        <w:jc w:val="center"/>
        <w:rPr>
          <w:rFonts w:ascii="Arial" w:hAnsi="Arial" w:cs="Arial"/>
        </w:rPr>
      </w:pPr>
    </w:p>
    <w:p w14:paraId="449AF30D" w14:textId="77777777" w:rsidR="0006618C" w:rsidRDefault="0006618C" w:rsidP="00851CB9">
      <w:pPr>
        <w:spacing w:after="0" w:line="240" w:lineRule="auto"/>
        <w:jc w:val="both"/>
        <w:rPr>
          <w:rFonts w:ascii="Arial" w:hAnsi="Arial" w:cs="Arial"/>
        </w:rPr>
      </w:pPr>
    </w:p>
    <w:p w14:paraId="4D412EFF" w14:textId="7AC3CCF6" w:rsidR="0031566C" w:rsidRPr="00273047" w:rsidRDefault="005F4151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općem dijelu financijskog plana prikazani su prihodi i rashodi koji su raščlanjeni prema ekonomskoj</w:t>
      </w:r>
      <w:r w:rsidR="00472FDE">
        <w:rPr>
          <w:rFonts w:ascii="Arial" w:hAnsi="Arial" w:cs="Arial"/>
        </w:rPr>
        <w:t xml:space="preserve"> i funkcionalnoj</w:t>
      </w:r>
      <w:r w:rsidRPr="00273047">
        <w:rPr>
          <w:rFonts w:ascii="Arial" w:hAnsi="Arial" w:cs="Arial"/>
        </w:rPr>
        <w:t xml:space="preserve"> klasifikaciji</w:t>
      </w:r>
      <w:r w:rsidR="00472FDE">
        <w:rPr>
          <w:rFonts w:ascii="Arial" w:hAnsi="Arial" w:cs="Arial"/>
        </w:rPr>
        <w:t xml:space="preserve">, te </w:t>
      </w:r>
      <w:r w:rsidRPr="00273047">
        <w:rPr>
          <w:rFonts w:ascii="Arial" w:hAnsi="Arial" w:cs="Arial"/>
        </w:rPr>
        <w:t xml:space="preserve">klasifikaciji prema izvorima financiranja. </w:t>
      </w:r>
      <w:r w:rsidR="0031566C" w:rsidRPr="00273047">
        <w:rPr>
          <w:rFonts w:ascii="Arial" w:hAnsi="Arial" w:cs="Arial"/>
        </w:rPr>
        <w:t>Najveći dio prihoda i rashoda pokriva se sredstvima Ministarstva znanosti i obrazovanja za plaće i dr. materijalna prava zaposlenika</w:t>
      </w:r>
      <w:r w:rsidR="004C46BC" w:rsidRPr="00273047">
        <w:rPr>
          <w:rFonts w:ascii="Arial" w:hAnsi="Arial" w:cs="Arial"/>
        </w:rPr>
        <w:t>, nabavku udžbenika</w:t>
      </w:r>
      <w:r w:rsidR="00472FDE">
        <w:rPr>
          <w:rFonts w:ascii="Arial" w:hAnsi="Arial" w:cs="Arial"/>
        </w:rPr>
        <w:t>, prehranu učernika</w:t>
      </w:r>
      <w:r w:rsidR="004C46BC" w:rsidRPr="00273047">
        <w:rPr>
          <w:rFonts w:ascii="Arial" w:hAnsi="Arial" w:cs="Arial"/>
        </w:rPr>
        <w:t xml:space="preserve"> i dr. Drugi najveći izvor finaciranja su</w:t>
      </w:r>
      <w:r w:rsidR="0031566C" w:rsidRPr="00273047">
        <w:rPr>
          <w:rFonts w:ascii="Arial" w:hAnsi="Arial" w:cs="Arial"/>
        </w:rPr>
        <w:t xml:space="preserve"> sredstva županije</w:t>
      </w:r>
      <w:r w:rsidR="004C46BC" w:rsidRPr="00273047">
        <w:rPr>
          <w:rFonts w:ascii="Arial" w:hAnsi="Arial" w:cs="Arial"/>
        </w:rPr>
        <w:t>:</w:t>
      </w:r>
      <w:r w:rsidR="0031566C" w:rsidRPr="00273047">
        <w:rPr>
          <w:rFonts w:ascii="Arial" w:hAnsi="Arial" w:cs="Arial"/>
        </w:rPr>
        <w:t xml:space="preserve"> iz decentraliziranih sredstava i nenamjenskih prihoda i primitak</w:t>
      </w:r>
      <w:r w:rsidR="004C46BC" w:rsidRPr="00273047">
        <w:rPr>
          <w:rFonts w:ascii="Arial" w:hAnsi="Arial" w:cs="Arial"/>
        </w:rPr>
        <w:t>a</w:t>
      </w:r>
      <w:r w:rsidR="0031566C" w:rsidRPr="00273047">
        <w:rPr>
          <w:rFonts w:ascii="Arial" w:hAnsi="Arial" w:cs="Arial"/>
        </w:rPr>
        <w:t xml:space="preserve"> se pokrivaju materijalni i financijski rashodi redovnog poslovanja škole, kao i tekuće i investicijsko održavanje, hitne intervencije i pomoćnici u nastavi.</w:t>
      </w:r>
      <w:r w:rsidR="004C46BC" w:rsidRPr="00273047">
        <w:rPr>
          <w:rFonts w:ascii="Arial" w:hAnsi="Arial" w:cs="Arial"/>
        </w:rPr>
        <w:t xml:space="preserve"> Prihodima Grada </w:t>
      </w:r>
      <w:r w:rsidR="00A75A3C" w:rsidRPr="00273047">
        <w:rPr>
          <w:rFonts w:ascii="Arial" w:hAnsi="Arial" w:cs="Arial"/>
        </w:rPr>
        <w:t>Poreča i Općine Sveti Lovreč</w:t>
      </w:r>
      <w:r w:rsidR="004C46BC" w:rsidRPr="00273047">
        <w:rPr>
          <w:rFonts w:ascii="Arial" w:hAnsi="Arial" w:cs="Arial"/>
        </w:rPr>
        <w:t xml:space="preserve"> </w:t>
      </w:r>
      <w:r w:rsidR="001F0888" w:rsidRPr="00273047">
        <w:rPr>
          <w:rFonts w:ascii="Arial" w:hAnsi="Arial" w:cs="Arial"/>
        </w:rPr>
        <w:t>sufinanciraju</w:t>
      </w:r>
      <w:r w:rsidR="004C46BC" w:rsidRPr="00273047">
        <w:rPr>
          <w:rFonts w:ascii="Arial" w:hAnsi="Arial" w:cs="Arial"/>
        </w:rPr>
        <w:t xml:space="preserve"> se troškovi </w:t>
      </w:r>
      <w:r w:rsidR="00375755" w:rsidRPr="00273047">
        <w:rPr>
          <w:rFonts w:ascii="Arial" w:hAnsi="Arial" w:cs="Arial"/>
        </w:rPr>
        <w:t>plaća i materijalnih prava djelatnika produženog boravka</w:t>
      </w:r>
      <w:r w:rsidR="00900C27">
        <w:rPr>
          <w:rFonts w:ascii="Arial" w:hAnsi="Arial" w:cs="Arial"/>
        </w:rPr>
        <w:t>, te</w:t>
      </w:r>
      <w:r w:rsidR="001F0888" w:rsidRPr="00273047">
        <w:rPr>
          <w:rFonts w:ascii="Arial" w:hAnsi="Arial" w:cs="Arial"/>
        </w:rPr>
        <w:t xml:space="preserve"> namirnice za školsku kuhinju, kao i </w:t>
      </w:r>
      <w:r w:rsidR="00375755" w:rsidRPr="00273047">
        <w:rPr>
          <w:rFonts w:ascii="Arial" w:hAnsi="Arial" w:cs="Arial"/>
        </w:rPr>
        <w:t xml:space="preserve"> dobar dio aktivnosti škole, nabavku </w:t>
      </w:r>
      <w:r w:rsidR="00A75A3C" w:rsidRPr="00273047">
        <w:rPr>
          <w:rFonts w:ascii="Arial" w:hAnsi="Arial" w:cs="Arial"/>
        </w:rPr>
        <w:t>dugotrajne imovine</w:t>
      </w:r>
      <w:r w:rsidR="00375755" w:rsidRPr="00273047">
        <w:rPr>
          <w:rFonts w:ascii="Arial" w:hAnsi="Arial" w:cs="Arial"/>
        </w:rPr>
        <w:t xml:space="preserve"> i dr.</w:t>
      </w:r>
      <w:r w:rsidR="004C46BC" w:rsidRPr="00273047">
        <w:rPr>
          <w:rFonts w:ascii="Arial" w:hAnsi="Arial" w:cs="Arial"/>
        </w:rPr>
        <w:t xml:space="preserve"> Namjenskim prihodima pokrivaju se troškovi školske kuhinje</w:t>
      </w:r>
      <w:r w:rsidR="00A75A3C" w:rsidRPr="00273047">
        <w:rPr>
          <w:rFonts w:ascii="Arial" w:hAnsi="Arial" w:cs="Arial"/>
        </w:rPr>
        <w:t xml:space="preserve"> i</w:t>
      </w:r>
      <w:r w:rsidR="004C46BC" w:rsidRPr="00273047">
        <w:rPr>
          <w:rFonts w:ascii="Arial" w:hAnsi="Arial" w:cs="Arial"/>
        </w:rPr>
        <w:t xml:space="preserve"> produženog boravka</w:t>
      </w:r>
      <w:r w:rsidR="00A75A3C" w:rsidRPr="00273047">
        <w:rPr>
          <w:rFonts w:ascii="Arial" w:hAnsi="Arial" w:cs="Arial"/>
        </w:rPr>
        <w:t>.</w:t>
      </w:r>
    </w:p>
    <w:p w14:paraId="2B64734D" w14:textId="77770A28" w:rsidR="007651CC" w:rsidRDefault="00B11090" w:rsidP="00B1109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202</w:t>
      </w:r>
      <w:r>
        <w:rPr>
          <w:rFonts w:ascii="Arial" w:hAnsi="Arial" w:cs="Arial"/>
        </w:rPr>
        <w:t>5</w:t>
      </w:r>
      <w:r w:rsidRPr="00273047">
        <w:rPr>
          <w:rFonts w:ascii="Arial" w:hAnsi="Arial" w:cs="Arial"/>
        </w:rPr>
        <w:t xml:space="preserve">.g. prikazan je </w:t>
      </w:r>
      <w:r>
        <w:rPr>
          <w:rFonts w:ascii="Arial" w:hAnsi="Arial" w:cs="Arial"/>
        </w:rPr>
        <w:t>manjak</w:t>
      </w:r>
      <w:r w:rsidRPr="00273047">
        <w:rPr>
          <w:rFonts w:ascii="Arial" w:hAnsi="Arial" w:cs="Arial"/>
        </w:rPr>
        <w:t xml:space="preserve"> koji se prenosi </w:t>
      </w:r>
      <w:r>
        <w:rPr>
          <w:rFonts w:ascii="Arial" w:hAnsi="Arial" w:cs="Arial"/>
        </w:rPr>
        <w:t>u sljedeću godinu</w:t>
      </w:r>
      <w:r w:rsidRPr="00273047">
        <w:rPr>
          <w:rFonts w:ascii="Arial" w:hAnsi="Arial" w:cs="Arial"/>
        </w:rPr>
        <w:t xml:space="preserve">. Budući da postoji određeni vremenski pomak u realizaciji prihoda za rashode koji se knjiže sa 31.12., a u proračunu županije se isti rashodi knjiže u trenutku realizacije prihoda, dolazi do metodoloških viškova/manjkova. </w:t>
      </w:r>
      <w:r>
        <w:rPr>
          <w:rFonts w:ascii="Arial" w:hAnsi="Arial" w:cs="Arial"/>
        </w:rPr>
        <w:t xml:space="preserve">Krajem 2025.g. došlo je do kibernetičkog napada na informatički sustav županije, zbog kojeg je više od mjesec dana bio onemogućen rad u račenovodstvenim programima škola. Jedna od posljedica toga bila je da je ostalo </w:t>
      </w:r>
      <w:r w:rsidR="007651CC">
        <w:rPr>
          <w:rFonts w:ascii="Arial" w:hAnsi="Arial" w:cs="Arial"/>
        </w:rPr>
        <w:t>dospjelih nepodmirenih obveza koje su podmirene početkom 2026.g.</w:t>
      </w:r>
      <w:r w:rsidRPr="00273047">
        <w:rPr>
          <w:rFonts w:ascii="Arial" w:hAnsi="Arial" w:cs="Arial"/>
        </w:rPr>
        <w:t xml:space="preserve"> </w:t>
      </w:r>
      <w:r w:rsidR="007651CC">
        <w:rPr>
          <w:rFonts w:ascii="Arial" w:hAnsi="Arial" w:cs="Arial"/>
        </w:rPr>
        <w:t>Osim toga, od ove godine se troškovi plaća iskazuju za mjesece na koje se odnose. Prije su se iskazivali u mjesecu u kojem je izvršen obračun plaće, a to bi bio sljedeći mjesec. Radi toga je u troškovima iskazano 13 plaća za 2025.g., dok se, s druge strane, prihodi iskazuju u trenutku primitka, pa imamo 12 prihoda za plaće u 2025.g. Time se znatno povećao iskazani metodološki manjak u odnosu na prethodnu godinu.</w:t>
      </w:r>
    </w:p>
    <w:p w14:paraId="400EDD75" w14:textId="562BB29A" w:rsidR="00375755" w:rsidRDefault="00B11090" w:rsidP="00851C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Stanje novčanih sredstava na početku godina bilo je 45.401,13 eura. Budući da je u listopadu 2025.g. škola ušla u sustav riznice Istarske županije, sredstva sa žiro računa škole prenesena su na žiro račun županije, tako da sada županija podmiruje financijske obveze škole. </w:t>
      </w:r>
      <w:r w:rsidRPr="00273047">
        <w:rPr>
          <w:rFonts w:ascii="Arial" w:hAnsi="Arial" w:cs="Arial"/>
        </w:rPr>
        <w:t>Kako nisu planirani prihodi i rashodi razreda 8 odn. 5, nije iskazan Račun financiranja.</w:t>
      </w:r>
    </w:p>
    <w:p w14:paraId="56363B2A" w14:textId="77777777" w:rsidR="00F67F30" w:rsidRPr="00273047" w:rsidRDefault="00F67F30" w:rsidP="00851CB9">
      <w:pPr>
        <w:spacing w:after="0" w:line="240" w:lineRule="auto"/>
        <w:jc w:val="both"/>
        <w:rPr>
          <w:rFonts w:ascii="Arial" w:hAnsi="Arial" w:cs="Arial"/>
        </w:rPr>
      </w:pPr>
    </w:p>
    <w:p w14:paraId="20DD1120" w14:textId="1CA0F804" w:rsidR="00357B61" w:rsidRP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SAŽETAK DJELOKRUGA RADA</w:t>
      </w:r>
    </w:p>
    <w:p w14:paraId="4706DDA7" w14:textId="77777777" w:rsid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1609FA0A" w14:textId="39978B96" w:rsid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Osnovna škola Joakima Rakovca Sveti Lovreč Pazenatički obavlja javnu djelatnost sukladno Zakonu o odgoju i obrazovanju u osnovnoj i srednjoj školi. Školu pohađa </w:t>
      </w:r>
      <w:r w:rsidRPr="002C2344">
        <w:rPr>
          <w:rFonts w:ascii="Arial" w:hAnsi="Arial" w:cs="Arial"/>
        </w:rPr>
        <w:t>12</w:t>
      </w:r>
      <w:r w:rsidR="007651CC">
        <w:rPr>
          <w:rFonts w:ascii="Arial" w:hAnsi="Arial" w:cs="Arial"/>
        </w:rPr>
        <w:t>0</w:t>
      </w:r>
      <w:r w:rsidRPr="002C2344"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>učenika u 8 razrednih odjela. Nastava se odvija u jednoj smjeni u petodnevnom radnom tjednu. Neposrednom je radu s učenicima namijenjeno 8 učionica, 1 specijalizirana učionica, 4 nastavnička kabineta, knjižnica i sportska dvorana.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>U školi se izvodi redovna, izborna, dodatna nastava, dopunska nastava i izvannastavne aktivnosti sukladno Nastavnom planu i programu, Godišnjem planu i programu rada Škole, te Školskom kurikulumu za školsku 202</w:t>
      </w:r>
      <w:r>
        <w:rPr>
          <w:rFonts w:ascii="Arial" w:hAnsi="Arial" w:cs="Arial"/>
        </w:rPr>
        <w:t>4</w:t>
      </w:r>
      <w:r w:rsidRPr="008B0C74">
        <w:rPr>
          <w:rFonts w:ascii="Arial" w:hAnsi="Arial" w:cs="Arial"/>
        </w:rPr>
        <w:t>./202</w:t>
      </w:r>
      <w:r>
        <w:rPr>
          <w:rFonts w:ascii="Arial" w:hAnsi="Arial" w:cs="Arial"/>
        </w:rPr>
        <w:t>5</w:t>
      </w:r>
      <w:r w:rsidRPr="008B0C74">
        <w:rPr>
          <w:rFonts w:ascii="Arial" w:hAnsi="Arial" w:cs="Arial"/>
        </w:rPr>
        <w:t>. godinu.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 xml:space="preserve">U školi </w:t>
      </w:r>
      <w:r>
        <w:rPr>
          <w:rFonts w:ascii="Arial" w:hAnsi="Arial" w:cs="Arial"/>
        </w:rPr>
        <w:t>je zaposlen</w:t>
      </w:r>
      <w:r w:rsidR="007651CC">
        <w:rPr>
          <w:rFonts w:ascii="Arial" w:hAnsi="Arial" w:cs="Arial"/>
        </w:rPr>
        <w:t>o</w:t>
      </w:r>
      <w:r w:rsidRPr="008B0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7651C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zaposlenik</w:t>
      </w:r>
      <w:r w:rsidR="007651CC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14:paraId="64D26C2A" w14:textId="77777777" w:rsidR="00F67F30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  </w:t>
      </w:r>
      <w:bookmarkStart w:id="0" w:name="_GoBack"/>
      <w:bookmarkEnd w:id="0"/>
    </w:p>
    <w:p w14:paraId="037CB9EF" w14:textId="6AFF7257" w:rsidR="008B0C74" w:rsidRP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 </w:t>
      </w:r>
    </w:p>
    <w:p w14:paraId="2EBF2A39" w14:textId="77777777" w:rsidR="008B0C74" w:rsidRPr="00273047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Slijedi obrazloženje prema programima i aktivnostima:</w:t>
      </w:r>
    </w:p>
    <w:p w14:paraId="5BE6AFD9" w14:textId="77777777" w:rsidR="0041511E" w:rsidRPr="00273047" w:rsidRDefault="0041511E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7FB47580" w14:textId="77777777" w:rsidR="0092540D" w:rsidRPr="008B0C74" w:rsidRDefault="0092540D" w:rsidP="009254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B0C74">
        <w:rPr>
          <w:rFonts w:ascii="Arial" w:hAnsi="Arial" w:cs="Arial"/>
          <w:b/>
        </w:rPr>
        <w:t xml:space="preserve">PROGRAM 2101: </w:t>
      </w:r>
      <w:r w:rsidRPr="008B0C74">
        <w:rPr>
          <w:rFonts w:ascii="Arial" w:hAnsi="Arial" w:cs="Arial"/>
          <w:b/>
          <w:bCs/>
        </w:rPr>
        <w:t>REDOVNA DJELATNOST OSNOVNIH ŠKOLA – MINIMALNI STANDARD</w:t>
      </w:r>
    </w:p>
    <w:p w14:paraId="490CAE81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068F6036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Škola se financira temeljem Odluke o kriterijima i mjerilima za osiguravanje minimalnog financijskog standarda javnih potreba u osnovnom školstvu. Cilj je financiranje materijalnih i financijskih troškova škole, prijevoza učenika, zdravstvenih pregleda zaposlenika. Nabavka opreme financira se iz donacija. Plaće i materijalna prava radnika financiraju se iz sredstva Ministarstva znanosti i obrazovanja. </w:t>
      </w:r>
    </w:p>
    <w:p w14:paraId="456AA6D2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5E3FB404" w14:textId="77777777" w:rsidR="00105301" w:rsidRDefault="00105301" w:rsidP="0092540D">
      <w:pPr>
        <w:spacing w:after="0" w:line="240" w:lineRule="auto"/>
        <w:jc w:val="both"/>
        <w:rPr>
          <w:rFonts w:ascii="Arial" w:hAnsi="Arial" w:cs="Arial"/>
        </w:rPr>
      </w:pPr>
    </w:p>
    <w:p w14:paraId="278EB0C4" w14:textId="6B4F5A14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lastRenderedPageBreak/>
        <w:t>Sastoji se od sljedećih aktivnosti:</w:t>
      </w:r>
    </w:p>
    <w:p w14:paraId="282006F4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A210101 Materijalni rashodi OŠ po kriterijima</w:t>
      </w:r>
    </w:p>
    <w:p w14:paraId="6FB77782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A210102 Materijalni rashodi OŠ po stvarnom trošku</w:t>
      </w:r>
    </w:p>
    <w:p w14:paraId="6C70B142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A210103 Materijalni rashodi OŠ po stvarnom trošku – drugi izvori</w:t>
      </w:r>
    </w:p>
    <w:p w14:paraId="3A4D14B5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A210104 Plaće i drugi rashodi za zaposlene osnovnih škola</w:t>
      </w:r>
    </w:p>
    <w:p w14:paraId="3A20349A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008ED16A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02047E58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016F973E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3109D703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618A631A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1508CFF3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0E1E63DD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3EE9CCCF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2A62EB88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2FF27B14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04686A5D" w14:textId="77777777" w:rsidR="0092540D" w:rsidRPr="00273047" w:rsidRDefault="0092540D" w:rsidP="0092540D">
      <w:pPr>
        <w:pStyle w:val="Default"/>
        <w:jc w:val="both"/>
        <w:rPr>
          <w:b/>
          <w:bCs/>
          <w:sz w:val="22"/>
          <w:szCs w:val="22"/>
        </w:rPr>
      </w:pPr>
      <w:r w:rsidRPr="00273047">
        <w:rPr>
          <w:b/>
          <w:bCs/>
          <w:sz w:val="22"/>
          <w:szCs w:val="22"/>
        </w:rPr>
        <w:t>OBRAZLOŽENJE AKTIVNOSTI</w:t>
      </w:r>
    </w:p>
    <w:p w14:paraId="34C518D3" w14:textId="77777777" w:rsidR="0092540D" w:rsidRPr="00273047" w:rsidRDefault="0092540D" w:rsidP="0092540D">
      <w:pPr>
        <w:pStyle w:val="Default"/>
        <w:jc w:val="both"/>
        <w:rPr>
          <w:color w:val="auto"/>
          <w:sz w:val="22"/>
          <w:szCs w:val="22"/>
        </w:rPr>
      </w:pPr>
      <w:r w:rsidRPr="00273047">
        <w:rPr>
          <w:sz w:val="22"/>
          <w:szCs w:val="22"/>
        </w:rPr>
        <w:t xml:space="preserve">Redovna djelatnost financira se iz primljenih decentraliziranih sredstava od osnivača (Istarske županije), Ministarstva znanosti i obrazovanja i primljenih vlastitih sredstava. </w:t>
      </w:r>
      <w:r w:rsidRPr="00273047">
        <w:rPr>
          <w:color w:val="auto"/>
          <w:sz w:val="22"/>
          <w:szCs w:val="22"/>
        </w:rPr>
        <w:t xml:space="preserve">Podrazumijeva planiranje sredstava za tekuće izdatke škole u grupi: službenih putovanja, uredskog materijala, energije, usluge telefona, pošte i prijevoza, komunalnih usluga, računalnih usluga, zdravstvenih usluga, ostalih usluga, ostalih nespomenutih rashoda poslovanja. </w:t>
      </w:r>
      <w:r w:rsidRPr="00273047">
        <w:rPr>
          <w:sz w:val="22"/>
          <w:szCs w:val="22"/>
        </w:rPr>
        <w:t>Sredstva od osnivača raspodijeljena su prema bilančnim pravima prema izračunu broja učenika i razrednih odjeljenja, prema stvarnim troškovima prijevoza učenika i zdravstvenih pregleda zaposlenika.</w:t>
      </w:r>
      <w:r w:rsidRPr="00273047">
        <w:rPr>
          <w:color w:val="auto"/>
          <w:sz w:val="22"/>
          <w:szCs w:val="22"/>
        </w:rPr>
        <w:t xml:space="preserve">. </w:t>
      </w:r>
    </w:p>
    <w:p w14:paraId="0856227C" w14:textId="77777777" w:rsidR="0092540D" w:rsidRDefault="0092540D" w:rsidP="0092540D">
      <w:pPr>
        <w:spacing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Rashodi za zaposlene financirani su iz državnog proračuna, a odnose se najvećim dijelom na plaće i ostale rashode za zaposlene ( jubilarne nagrade, otpremnine, darove, regres za godišnji odmor), rashode za troškove prijevoza na posao i s posla i za kvotu za n</w:t>
      </w:r>
      <w:r>
        <w:rPr>
          <w:rFonts w:ascii="Arial" w:hAnsi="Arial" w:cs="Arial"/>
        </w:rPr>
        <w:t>ezapošljavanje invalidnih osoba.</w:t>
      </w:r>
    </w:p>
    <w:p w14:paraId="6B759BA0" w14:textId="77777777" w:rsidR="0092540D" w:rsidRPr="00A1753C" w:rsidRDefault="0092540D" w:rsidP="0092540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Planirano je povećanje materijalnih rashoda koji se pokrivaju iz sredstava županije i općine. Nakon više godina došlo je do znatnijeg povećanja prihoda za materijalne rashode OŠ po kriterijima (tzv. sredstva decentralizacije).</w:t>
      </w:r>
    </w:p>
    <w:p w14:paraId="19E04C41" w14:textId="77777777" w:rsidR="0092540D" w:rsidRPr="00273047" w:rsidRDefault="0092540D" w:rsidP="0092540D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4CDA084B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1" w:name="_Hlk109907329"/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 Osiguranje  poboljšanje dostupnosti odgoja i obrazovanja djeci i roditeljima/starateljima.</w:t>
      </w:r>
    </w:p>
    <w:bookmarkEnd w:id="1"/>
    <w:p w14:paraId="637D054D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E4155EE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3B8A6813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roditeljima/starateljima, osobito u ruralnoj sredini. Sve aktivnosti ovog programa zajednički pridonose ostvarenju rezultata.</w:t>
      </w:r>
    </w:p>
    <w:p w14:paraId="47C767DC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7CFDF4D3" w14:textId="77777777" w:rsidTr="00AC77AE">
        <w:tc>
          <w:tcPr>
            <w:tcW w:w="4075" w:type="dxa"/>
            <w:vMerge w:val="restart"/>
          </w:tcPr>
          <w:p w14:paraId="47E83D4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383F59C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68721E3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084B6C0E" w14:textId="77777777" w:rsidTr="00AC77AE">
        <w:tc>
          <w:tcPr>
            <w:tcW w:w="4075" w:type="dxa"/>
            <w:vMerge/>
          </w:tcPr>
          <w:p w14:paraId="35A6427B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6513E07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5C5681D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7137E4A4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5C16CED4" w14:textId="77777777" w:rsidTr="00AC77AE">
        <w:tc>
          <w:tcPr>
            <w:tcW w:w="4075" w:type="dxa"/>
          </w:tcPr>
          <w:p w14:paraId="507D0DF5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obrazovanja</w:t>
            </w:r>
          </w:p>
        </w:tc>
        <w:tc>
          <w:tcPr>
            <w:tcW w:w="1812" w:type="dxa"/>
          </w:tcPr>
          <w:p w14:paraId="688D44AC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621" w:type="dxa"/>
          </w:tcPr>
          <w:p w14:paraId="0E905E1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595" w:type="dxa"/>
          </w:tcPr>
          <w:p w14:paraId="53757503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</w:tr>
      <w:tr w:rsidR="0092540D" w:rsidRPr="00273047" w14:paraId="168BCF0F" w14:textId="77777777" w:rsidTr="00AC77AE">
        <w:tc>
          <w:tcPr>
            <w:tcW w:w="4075" w:type="dxa"/>
          </w:tcPr>
          <w:p w14:paraId="72097394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učenika kojima se sufinanciraju troškovi posebnog i javnog prijevoza</w:t>
            </w:r>
          </w:p>
        </w:tc>
        <w:tc>
          <w:tcPr>
            <w:tcW w:w="1812" w:type="dxa"/>
          </w:tcPr>
          <w:p w14:paraId="6FA3E96D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87</w:t>
            </w:r>
          </w:p>
        </w:tc>
        <w:tc>
          <w:tcPr>
            <w:tcW w:w="1621" w:type="dxa"/>
          </w:tcPr>
          <w:p w14:paraId="7E3EF3C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595" w:type="dxa"/>
          </w:tcPr>
          <w:p w14:paraId="501A286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95</w:t>
            </w:r>
          </w:p>
        </w:tc>
      </w:tr>
    </w:tbl>
    <w:p w14:paraId="0C93204F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034B3079" w14:textId="77777777" w:rsidR="0092540D" w:rsidRPr="00CB7B70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lastRenderedPageBreak/>
        <w:t xml:space="preserve">PROGRAM 2102: </w:t>
      </w:r>
      <w:r w:rsidRPr="00CB7B70">
        <w:rPr>
          <w:rFonts w:ascii="Arial" w:hAnsi="Arial" w:cs="Arial"/>
          <w:b/>
        </w:rPr>
        <w:t>REDOVNA DJELATNOST OSNOVNIH ŠKOLA – IZNAD STANDARDA</w:t>
      </w:r>
    </w:p>
    <w:p w14:paraId="768F4727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71A9A205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13B99E84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5302FBCE" w14:textId="77777777" w:rsidR="0092540D" w:rsidRPr="00CB7B70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3482DD1C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1B695BC2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33F1DA20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6049BD63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07F36EE9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20F2A25C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174B625D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42095371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AD2DEBA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06B78D1F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>
        <w:rPr>
          <w:rFonts w:ascii="Arial" w:hAnsi="Arial" w:cs="Arial"/>
          <w:b/>
        </w:rPr>
        <w:t>AKTIVNOSTI</w:t>
      </w:r>
    </w:p>
    <w:p w14:paraId="4AAD8201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Financiranje troškova energenata (električna energija i lož ulje), te troškova osiguranja imovine, osoba i školskog kombija radi neometanog odvijanja nastavnog procesa. Sastoji se od aktivnosti:</w:t>
      </w:r>
    </w:p>
    <w:p w14:paraId="7D612C7D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13F4A63B" w14:textId="77777777" w:rsidR="0092540D" w:rsidRPr="00A1753C" w:rsidRDefault="0092540D" w:rsidP="0092540D">
      <w:pPr>
        <w:jc w:val="both"/>
        <w:rPr>
          <w:rFonts w:ascii="Arial" w:eastAsia="Arial" w:hAnsi="Arial" w:cs="Arial"/>
        </w:rPr>
      </w:pPr>
      <w:r w:rsidRPr="00273047">
        <w:rPr>
          <w:rFonts w:ascii="Arial" w:eastAsia="Calibri" w:hAnsi="Arial" w:cs="Arial"/>
        </w:rPr>
        <w:t>Troškovi financirani  iz sredstava iznad standarda  su troškovi energenata, premija osiguranja</w:t>
      </w:r>
      <w:r>
        <w:rPr>
          <w:rFonts w:ascii="Arial" w:eastAsia="Calibri" w:hAnsi="Arial" w:cs="Arial"/>
        </w:rPr>
        <w:t xml:space="preserve">, </w:t>
      </w:r>
      <w:r w:rsidRPr="00273047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 xml:space="preserve"> tekućeg održavanja</w:t>
      </w:r>
      <w:r w:rsidRPr="00273047">
        <w:rPr>
          <w:rFonts w:ascii="Arial" w:eastAsia="Calibri" w:hAnsi="Arial" w:cs="Arial"/>
        </w:rPr>
        <w:t xml:space="preserve"> školskog kombija. </w:t>
      </w:r>
    </w:p>
    <w:p w14:paraId="2B99F1C9" w14:textId="77777777" w:rsidR="0092540D" w:rsidRPr="00273047" w:rsidRDefault="0092540D" w:rsidP="0092540D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4BDD8961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roditeljima/starateljima..</w:t>
      </w:r>
    </w:p>
    <w:p w14:paraId="0CEC3485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5CA78378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216B726E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roditeljima/starateljima.</w:t>
      </w:r>
    </w:p>
    <w:p w14:paraId="3211A5A7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ayout w:type="fixed"/>
        <w:tblLook w:val="04A0" w:firstRow="1" w:lastRow="0" w:firstColumn="1" w:lastColumn="0" w:noHBand="0" w:noVBand="1"/>
      </w:tblPr>
      <w:tblGrid>
        <w:gridCol w:w="3681"/>
        <w:gridCol w:w="1701"/>
        <w:gridCol w:w="1843"/>
        <w:gridCol w:w="1842"/>
        <w:gridCol w:w="36"/>
      </w:tblGrid>
      <w:tr w:rsidR="0092540D" w:rsidRPr="00273047" w14:paraId="33D7C448" w14:textId="77777777" w:rsidTr="00AC77AE">
        <w:tc>
          <w:tcPr>
            <w:tcW w:w="3681" w:type="dxa"/>
            <w:vMerge w:val="restart"/>
          </w:tcPr>
          <w:p w14:paraId="6A0CBA47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701" w:type="dxa"/>
            <w:vMerge w:val="restart"/>
          </w:tcPr>
          <w:p w14:paraId="055321FE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721" w:type="dxa"/>
            <w:gridSpan w:val="3"/>
          </w:tcPr>
          <w:p w14:paraId="614BCBD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0493F1DC" w14:textId="77777777" w:rsidTr="00AC77AE">
        <w:trPr>
          <w:gridAfter w:val="1"/>
          <w:wAfter w:w="36" w:type="dxa"/>
        </w:trPr>
        <w:tc>
          <w:tcPr>
            <w:tcW w:w="3681" w:type="dxa"/>
            <w:vMerge/>
          </w:tcPr>
          <w:p w14:paraId="7791DB70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319C5D5C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B66E0F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842" w:type="dxa"/>
          </w:tcPr>
          <w:p w14:paraId="2FA914E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2847F222" w14:textId="77777777" w:rsidTr="00AC77AE">
        <w:trPr>
          <w:gridAfter w:val="1"/>
          <w:wAfter w:w="36" w:type="dxa"/>
        </w:trPr>
        <w:tc>
          <w:tcPr>
            <w:tcW w:w="3681" w:type="dxa"/>
          </w:tcPr>
          <w:p w14:paraId="3AB235C7" w14:textId="77777777" w:rsidR="0092540D" w:rsidRPr="00273047" w:rsidRDefault="0092540D" w:rsidP="00AC77AE">
            <w:pPr>
              <w:spacing w:after="0" w:line="240" w:lineRule="auto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Pokrivanje troškova energenata i premije osiguranja za nesmetano odvijanje nastavnog procesa</w:t>
            </w:r>
          </w:p>
        </w:tc>
        <w:tc>
          <w:tcPr>
            <w:tcW w:w="1701" w:type="dxa"/>
          </w:tcPr>
          <w:p w14:paraId="61C5D74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 se</w:t>
            </w:r>
          </w:p>
        </w:tc>
        <w:tc>
          <w:tcPr>
            <w:tcW w:w="1843" w:type="dxa"/>
          </w:tcPr>
          <w:p w14:paraId="7DDFA8C8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  <w:tc>
          <w:tcPr>
            <w:tcW w:w="1842" w:type="dxa"/>
          </w:tcPr>
          <w:p w14:paraId="085B0E8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</w:tr>
      <w:tr w:rsidR="0092540D" w:rsidRPr="00273047" w14:paraId="672226C9" w14:textId="77777777" w:rsidTr="00AC77AE">
        <w:trPr>
          <w:gridAfter w:val="1"/>
          <w:wAfter w:w="36" w:type="dxa"/>
        </w:trPr>
        <w:tc>
          <w:tcPr>
            <w:tcW w:w="3681" w:type="dxa"/>
          </w:tcPr>
          <w:p w14:paraId="6B20CD94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učenika koji koriste školski kombi za prijevoz u školu</w:t>
            </w:r>
          </w:p>
        </w:tc>
        <w:tc>
          <w:tcPr>
            <w:tcW w:w="1701" w:type="dxa"/>
          </w:tcPr>
          <w:p w14:paraId="647B8EB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843" w:type="dxa"/>
          </w:tcPr>
          <w:p w14:paraId="731DF3BD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  <w:tc>
          <w:tcPr>
            <w:tcW w:w="1842" w:type="dxa"/>
          </w:tcPr>
          <w:p w14:paraId="5F1C98E3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</w:tr>
    </w:tbl>
    <w:p w14:paraId="2436E38F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68C4A60F" w14:textId="77777777" w:rsidR="0092540D" w:rsidRPr="00CB7B70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2301: </w:t>
      </w:r>
      <w:r w:rsidRPr="00CB7B70">
        <w:rPr>
          <w:rFonts w:ascii="Arial" w:hAnsi="Arial" w:cs="Arial"/>
          <w:b/>
        </w:rPr>
        <w:t>PROGRAMI OBRAZOVANJA – IZNAD STANDARDA</w:t>
      </w:r>
    </w:p>
    <w:p w14:paraId="5B2387BB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7D1AFB8E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Ovim programom obuhvaćene su sljedeće aktivnosti:</w:t>
      </w:r>
    </w:p>
    <w:p w14:paraId="502715B6" w14:textId="77777777" w:rsidR="00105301" w:rsidRDefault="00105301" w:rsidP="001053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A230102 Županijska natjecanja</w:t>
      </w:r>
    </w:p>
    <w:p w14:paraId="0F3162A3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74A1B7FE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7B1C6EA0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p w14:paraId="0CCCEAF0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</w:p>
    <w:p w14:paraId="2C5DA193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1F0C5A92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p w14:paraId="37FB6888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42E60CE9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Aktivnost A230164 Obilježavanje godišnjice škole</w:t>
      </w:r>
    </w:p>
    <w:p w14:paraId="0E8A28E1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654EF83B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2195EDFD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0FD7D4BC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6608F142" w14:textId="77777777" w:rsidR="0092540D" w:rsidRPr="00CB7B70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001C5D54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5B3505A7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1C26C2F8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16126A28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5B7F2DA3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906AD64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5036B3BD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5D9A2E67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EF30FF6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4DB85BCF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>
        <w:rPr>
          <w:rFonts w:ascii="Arial" w:hAnsi="Arial" w:cs="Arial"/>
          <w:b/>
        </w:rPr>
        <w:t>AKTIVNOSTI</w:t>
      </w:r>
    </w:p>
    <w:p w14:paraId="34A6EF63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Program obuhvaća financiranje prehrane učenika u školskoj ustanovi, produženog boravka, financiranje nabavke udžbenika, te poticanje konzumacije voća i povrća, mlijeka i mliječnih proizvoda. Sastoji se od sljedećih aktivnosti:</w:t>
      </w:r>
    </w:p>
    <w:p w14:paraId="5868AA77" w14:textId="77777777" w:rsidR="00105301" w:rsidRDefault="00105301" w:rsidP="001053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A230102 Županijska natjecanja</w:t>
      </w:r>
    </w:p>
    <w:p w14:paraId="42607F88" w14:textId="77777777" w:rsidR="00105301" w:rsidRDefault="00105301" w:rsidP="001053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Sudjelovanjem učenika u natjecanjima potiče ih se na veće zalaganje i upoznavanje učenika iz drugih škola.</w:t>
      </w:r>
    </w:p>
    <w:p w14:paraId="033A84FB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770C46C1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2D035573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73F1E694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nižih razreda koji ostaju u produženom boravku pišu zadaće, dobivaju ručak i provode organizirane aktivnosti.</w:t>
      </w:r>
    </w:p>
    <w:p w14:paraId="2227B8C0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  <w:r>
        <w:rPr>
          <w:rFonts w:ascii="Arial" w:hAnsi="Arial" w:cs="Arial"/>
        </w:rPr>
        <w:t xml:space="preserve"> – usklađen sa projektima škole koji su prihvaćeni od strane MZOM.</w:t>
      </w:r>
    </w:p>
    <w:p w14:paraId="68E75053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Različiti školski projekti, kao i izvannastavne aktivnosti provode su u školi.</w:t>
      </w:r>
    </w:p>
    <w:p w14:paraId="0D01714C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  <w:r>
        <w:rPr>
          <w:rFonts w:ascii="Arial" w:hAnsi="Arial" w:cs="Arial"/>
        </w:rPr>
        <w:t xml:space="preserve"> – usklađeno sa očekivanom strukturom  i obujmom nabave za sljedeću školsku godinu.</w:t>
      </w:r>
    </w:p>
    <w:p w14:paraId="0B642EBA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Ministarstvo znanosti i obrazovanja osigurava sredstva za nabavku udžbenika koji se nisu prenijeli sa prethodne generacije učenika.</w:t>
      </w:r>
    </w:p>
    <w:p w14:paraId="1D615F4D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3B91DC9F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koji su sve razrede prošli s odličnim, na kraju školovanja nagrađuju se prikladnom plaketom, knjigom ili sličnim namjenskim poklonom.</w:t>
      </w:r>
    </w:p>
    <w:p w14:paraId="65C99CD2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  <w:r>
        <w:rPr>
          <w:rFonts w:ascii="Arial" w:hAnsi="Arial" w:cs="Arial"/>
        </w:rPr>
        <w:t xml:space="preserve"> – usklađen sa projektima škole koji su prihvaćeni od strane MZOM.</w:t>
      </w:r>
    </w:p>
    <w:p w14:paraId="0292150F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Kvalitetnim programima i aktivnostima nastoji se što više educirati djecu o preventivnim aktivnostima.</w:t>
      </w:r>
    </w:p>
    <w:p w14:paraId="393EA216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32DD0455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Organizacija više radionica za darovite učenike iz STEM područja, istraživanja prirode i kulturno-umjetničkog stvaralaštva</w:t>
      </w:r>
    </w:p>
    <w:p w14:paraId="63FBEF4B" w14:textId="123312AA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A230164 </w:t>
      </w:r>
      <w:r w:rsidRPr="003D6272">
        <w:rPr>
          <w:rFonts w:ascii="Arial" w:hAnsi="Arial" w:cs="Arial"/>
        </w:rPr>
        <w:t>Obilježavanjem 60. obljetnice škole naglašavaju se posebitosti škole te ističu specifični talenti učenika, potiče ih se na stjecanje dodatnih znanja i vještina, produbljuje znanje o školi i užem zavičaju i naglašava osobita veza između škole i učenika.</w:t>
      </w:r>
      <w:r>
        <w:rPr>
          <w:rFonts w:ascii="Arial" w:hAnsi="Arial" w:cs="Arial"/>
        </w:rPr>
        <w:t xml:space="preserve"> Uslijed nepredvidivih okolnosti </w:t>
      </w:r>
      <w:r w:rsidR="007651CC">
        <w:rPr>
          <w:rFonts w:ascii="Arial" w:hAnsi="Arial" w:cs="Arial"/>
        </w:rPr>
        <w:t>pret</w:t>
      </w:r>
      <w:r>
        <w:rPr>
          <w:rFonts w:ascii="Arial" w:hAnsi="Arial" w:cs="Arial"/>
        </w:rPr>
        <w:t>prošle godine se nije uspjelo prikladno obilježiti obljetnicu, te</w:t>
      </w:r>
      <w:r w:rsidR="007651CC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isto odgodilo za ovu godinu.</w:t>
      </w:r>
    </w:p>
    <w:p w14:paraId="5317F5D9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593F6B5C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Učenici sudjeluju u sportskim natjecanjima u raznim disciplinama, što promovira zdrav i aktivan način života.</w:t>
      </w:r>
    </w:p>
    <w:p w14:paraId="710686FB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22752DDE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Podizanje svijesti učenika o važnosti očuvanja zavičajnih običaja, prirodnih ljepota i poticanje na dodatne aktivnosti vezane uz temu zavičaja.</w:t>
      </w:r>
    </w:p>
    <w:p w14:paraId="046D59AC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7215BB8D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Osiguranje redovite zdrave prehrane djece dodatnom ponudom mlijeka i mliječnih proizvoda, te svježeg voća i voćnih sokova.</w:t>
      </w:r>
    </w:p>
    <w:p w14:paraId="46C90689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290C886B" w14:textId="77777777" w:rsidR="0092540D" w:rsidRPr="00273047" w:rsidRDefault="0092540D" w:rsidP="0092540D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60DA31C2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 i mjera 2.1.9. Ostale mjere iz samoupravnog djelokruga u području odgoja i obrazovanja. Zatim SC 4. Regija koja njeguje i promovira prepoznatljivosti istarskog identiteta, mjera 4.1.1. Razvoj zavičajnog identiteta.</w:t>
      </w:r>
    </w:p>
    <w:p w14:paraId="2DB3C4DB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493D62E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168C8DA3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29226169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26FFBFA7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djeci i roditeljima/starateljima</w:t>
      </w:r>
    </w:p>
    <w:p w14:paraId="3C684096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068288F2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3964"/>
        <w:gridCol w:w="1843"/>
        <w:gridCol w:w="1701"/>
        <w:gridCol w:w="1595"/>
      </w:tblGrid>
      <w:tr w:rsidR="0092540D" w:rsidRPr="00273047" w14:paraId="383DBB01" w14:textId="77777777" w:rsidTr="00AC77AE">
        <w:tc>
          <w:tcPr>
            <w:tcW w:w="3964" w:type="dxa"/>
            <w:vMerge w:val="restart"/>
          </w:tcPr>
          <w:p w14:paraId="58CC6635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43" w:type="dxa"/>
            <w:vMerge w:val="restart"/>
          </w:tcPr>
          <w:p w14:paraId="3479E53B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96" w:type="dxa"/>
            <w:gridSpan w:val="2"/>
          </w:tcPr>
          <w:p w14:paraId="435BEA7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25D8D1EB" w14:textId="77777777" w:rsidTr="00AC77AE">
        <w:tc>
          <w:tcPr>
            <w:tcW w:w="3964" w:type="dxa"/>
            <w:vMerge/>
          </w:tcPr>
          <w:p w14:paraId="333BF9EB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1EEF7D12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9DE71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18B6549D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126C390E" w14:textId="77777777" w:rsidTr="00AC77AE">
        <w:tc>
          <w:tcPr>
            <w:tcW w:w="3964" w:type="dxa"/>
          </w:tcPr>
          <w:p w14:paraId="09F9F7C5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prehrana</w:t>
            </w:r>
          </w:p>
        </w:tc>
        <w:tc>
          <w:tcPr>
            <w:tcW w:w="1843" w:type="dxa"/>
          </w:tcPr>
          <w:p w14:paraId="55A2FA6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14:paraId="686D70AC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95" w:type="dxa"/>
          </w:tcPr>
          <w:p w14:paraId="49887137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5CD57B0B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04DE2E3D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1595"/>
      </w:tblGrid>
      <w:tr w:rsidR="0092540D" w:rsidRPr="00273047" w14:paraId="1F49EA76" w14:textId="77777777" w:rsidTr="00AC77AE">
        <w:tc>
          <w:tcPr>
            <w:tcW w:w="4106" w:type="dxa"/>
            <w:vMerge w:val="restart"/>
          </w:tcPr>
          <w:p w14:paraId="5AA09A73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701" w:type="dxa"/>
            <w:vMerge w:val="restart"/>
          </w:tcPr>
          <w:p w14:paraId="5E5201C5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96" w:type="dxa"/>
            <w:gridSpan w:val="2"/>
          </w:tcPr>
          <w:p w14:paraId="0B1AD42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13844942" w14:textId="77777777" w:rsidTr="00AC77AE">
        <w:tc>
          <w:tcPr>
            <w:tcW w:w="4106" w:type="dxa"/>
            <w:vMerge/>
          </w:tcPr>
          <w:p w14:paraId="71B461DE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301B79E9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20A7A7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64CC7A7F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2449E4E2" w14:textId="77777777" w:rsidTr="00AC77AE">
        <w:tc>
          <w:tcPr>
            <w:tcW w:w="4106" w:type="dxa"/>
          </w:tcPr>
          <w:p w14:paraId="54FB2AC3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produženi boravak</w:t>
            </w:r>
          </w:p>
        </w:tc>
        <w:tc>
          <w:tcPr>
            <w:tcW w:w="1701" w:type="dxa"/>
          </w:tcPr>
          <w:p w14:paraId="42A4671D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14:paraId="38148912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595" w:type="dxa"/>
          </w:tcPr>
          <w:p w14:paraId="06DB4099" w14:textId="7B8181B5" w:rsidR="0092540D" w:rsidRPr="00273047" w:rsidRDefault="0004621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</w:tbl>
    <w:p w14:paraId="41DE6787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0C366D14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23D37A97" w14:textId="77777777" w:rsidTr="00AC77AE">
        <w:tc>
          <w:tcPr>
            <w:tcW w:w="4075" w:type="dxa"/>
            <w:vMerge w:val="restart"/>
          </w:tcPr>
          <w:p w14:paraId="1F03533D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D9CFCC3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6A99A81E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15CFBC60" w14:textId="77777777" w:rsidTr="00AC77AE">
        <w:tc>
          <w:tcPr>
            <w:tcW w:w="4075" w:type="dxa"/>
            <w:vMerge/>
          </w:tcPr>
          <w:p w14:paraId="0312B7B8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001EBE8D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680DD4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08B4A94E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01423B1A" w14:textId="77777777" w:rsidTr="00AC77AE">
        <w:tc>
          <w:tcPr>
            <w:tcW w:w="4075" w:type="dxa"/>
          </w:tcPr>
          <w:p w14:paraId="5D7A7AB3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poklone za prvašiće</w:t>
            </w:r>
          </w:p>
        </w:tc>
        <w:tc>
          <w:tcPr>
            <w:tcW w:w="1812" w:type="dxa"/>
          </w:tcPr>
          <w:p w14:paraId="3EC21E5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621" w:type="dxa"/>
          </w:tcPr>
          <w:p w14:paraId="3812A60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95" w:type="dxa"/>
          </w:tcPr>
          <w:p w14:paraId="3E774942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</w:tbl>
    <w:p w14:paraId="64E20AEB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4EC9B53C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576CFDC5" w14:textId="77777777" w:rsidTr="00AC77AE">
        <w:tc>
          <w:tcPr>
            <w:tcW w:w="4075" w:type="dxa"/>
            <w:vMerge w:val="restart"/>
          </w:tcPr>
          <w:p w14:paraId="2B3A9843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1F0178A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72C3AA6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556B143A" w14:textId="77777777" w:rsidTr="00AC77AE">
        <w:tc>
          <w:tcPr>
            <w:tcW w:w="4075" w:type="dxa"/>
            <w:vMerge/>
          </w:tcPr>
          <w:p w14:paraId="0B5062EF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25F021AC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8489BD4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648ECD6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07B82FC2" w14:textId="77777777" w:rsidTr="00AC77AE">
        <w:tc>
          <w:tcPr>
            <w:tcW w:w="4075" w:type="dxa"/>
          </w:tcPr>
          <w:p w14:paraId="07F3E22B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udžbenike za sve učenike</w:t>
            </w:r>
          </w:p>
        </w:tc>
        <w:tc>
          <w:tcPr>
            <w:tcW w:w="1812" w:type="dxa"/>
          </w:tcPr>
          <w:p w14:paraId="32385115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621" w:type="dxa"/>
          </w:tcPr>
          <w:p w14:paraId="358B54B7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595" w:type="dxa"/>
          </w:tcPr>
          <w:p w14:paraId="3D3DD243" w14:textId="2163FD43" w:rsidR="0092540D" w:rsidRPr="00273047" w:rsidRDefault="0092540D" w:rsidP="000462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  <w:r w:rsidR="0004621D">
              <w:rPr>
                <w:rFonts w:ascii="Arial" w:hAnsi="Arial" w:cs="Arial"/>
              </w:rPr>
              <w:t>17</w:t>
            </w:r>
          </w:p>
        </w:tc>
      </w:tr>
    </w:tbl>
    <w:p w14:paraId="400CC9AB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45A174B2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50EEADFB" w14:textId="77777777" w:rsidTr="00AC77AE">
        <w:tc>
          <w:tcPr>
            <w:tcW w:w="4075" w:type="dxa"/>
            <w:vMerge w:val="restart"/>
          </w:tcPr>
          <w:p w14:paraId="5E06A6C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0382F0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466FFAA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53CCF5A9" w14:textId="77777777" w:rsidTr="00AC77AE">
        <w:tc>
          <w:tcPr>
            <w:tcW w:w="4075" w:type="dxa"/>
            <w:vMerge/>
          </w:tcPr>
          <w:p w14:paraId="6F955890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F73791C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BF9F71F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5F8A32D5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02736FD9" w14:textId="77777777" w:rsidTr="00AC77AE">
        <w:tc>
          <w:tcPr>
            <w:tcW w:w="4075" w:type="dxa"/>
          </w:tcPr>
          <w:p w14:paraId="78F93DE4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nagrade za uspješne učenike</w:t>
            </w:r>
          </w:p>
        </w:tc>
        <w:tc>
          <w:tcPr>
            <w:tcW w:w="1812" w:type="dxa"/>
          </w:tcPr>
          <w:p w14:paraId="0CC84A7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621" w:type="dxa"/>
          </w:tcPr>
          <w:p w14:paraId="7ADC9934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595" w:type="dxa"/>
          </w:tcPr>
          <w:p w14:paraId="7BEE5D04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</w:tr>
    </w:tbl>
    <w:p w14:paraId="21968205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2606B769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25B6B6FE" w14:textId="77777777" w:rsidTr="00AC77AE">
        <w:tc>
          <w:tcPr>
            <w:tcW w:w="4075" w:type="dxa"/>
            <w:vMerge w:val="restart"/>
          </w:tcPr>
          <w:p w14:paraId="6AB70D7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B8C4B4D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20317DE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62554C4D" w14:textId="77777777" w:rsidTr="00AC77AE">
        <w:tc>
          <w:tcPr>
            <w:tcW w:w="4075" w:type="dxa"/>
            <w:vMerge/>
          </w:tcPr>
          <w:p w14:paraId="6D970616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5D175B3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5F9D29AB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2B54769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32D7E8AF" w14:textId="77777777" w:rsidTr="00AC77AE">
        <w:tc>
          <w:tcPr>
            <w:tcW w:w="4075" w:type="dxa"/>
          </w:tcPr>
          <w:p w14:paraId="7D5D0594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Predavanje na temu prevencije nasilja</w:t>
            </w:r>
          </w:p>
        </w:tc>
        <w:tc>
          <w:tcPr>
            <w:tcW w:w="1812" w:type="dxa"/>
          </w:tcPr>
          <w:p w14:paraId="74ABF64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621" w:type="dxa"/>
          </w:tcPr>
          <w:p w14:paraId="0413D0D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595" w:type="dxa"/>
          </w:tcPr>
          <w:p w14:paraId="073FBA3A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20066275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2FFBF706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lastRenderedPageBreak/>
        <w:t>Aktivnost A2301</w:t>
      </w:r>
      <w:r>
        <w:rPr>
          <w:rFonts w:ascii="Arial" w:hAnsi="Arial" w:cs="Arial"/>
        </w:rPr>
        <w:t>71 Školska sportska društva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4FFEBF29" w14:textId="77777777" w:rsidTr="00AC77AE">
        <w:tc>
          <w:tcPr>
            <w:tcW w:w="4075" w:type="dxa"/>
            <w:vMerge w:val="restart"/>
          </w:tcPr>
          <w:p w14:paraId="704076D2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741B47BA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559BAB12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26A54300" w14:textId="77777777" w:rsidTr="00AC77AE">
        <w:tc>
          <w:tcPr>
            <w:tcW w:w="4075" w:type="dxa"/>
            <w:vMerge/>
          </w:tcPr>
          <w:p w14:paraId="7AF857C4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244BEC2C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FB0121A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70B3392C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4000F689" w14:textId="77777777" w:rsidTr="00AC77AE">
        <w:trPr>
          <w:trHeight w:val="142"/>
        </w:trPr>
        <w:tc>
          <w:tcPr>
            <w:tcW w:w="4075" w:type="dxa"/>
          </w:tcPr>
          <w:p w14:paraId="2D080DC6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Sudjelovanje učenika na sportskim natjecanjima</w:t>
            </w:r>
          </w:p>
        </w:tc>
        <w:tc>
          <w:tcPr>
            <w:tcW w:w="1812" w:type="dxa"/>
          </w:tcPr>
          <w:p w14:paraId="2905364E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621" w:type="dxa"/>
          </w:tcPr>
          <w:p w14:paraId="48010BDA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95" w:type="dxa"/>
          </w:tcPr>
          <w:p w14:paraId="6B3088E7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7FFEBFE8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6B1514D3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p w14:paraId="22CCD213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6A3DA47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04A5F9F4" w14:textId="77777777" w:rsidTr="00AC77AE">
        <w:tc>
          <w:tcPr>
            <w:tcW w:w="4075" w:type="dxa"/>
            <w:vMerge w:val="restart"/>
          </w:tcPr>
          <w:p w14:paraId="76F9922F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F69FE5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004F7E1E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0E2FF307" w14:textId="77777777" w:rsidTr="00AC77AE">
        <w:tc>
          <w:tcPr>
            <w:tcW w:w="4075" w:type="dxa"/>
            <w:vMerge/>
          </w:tcPr>
          <w:p w14:paraId="6E72A9D4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FEA2E53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1600070A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1A1AB8CB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64B10E03" w14:textId="77777777" w:rsidTr="00AC77AE">
        <w:tc>
          <w:tcPr>
            <w:tcW w:w="4075" w:type="dxa"/>
          </w:tcPr>
          <w:p w14:paraId="608B1E9F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učenika kojima je osigurano svježe voće, mlijeko i mlječni proizvodi</w:t>
            </w:r>
          </w:p>
        </w:tc>
        <w:tc>
          <w:tcPr>
            <w:tcW w:w="1812" w:type="dxa"/>
          </w:tcPr>
          <w:p w14:paraId="542293C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621" w:type="dxa"/>
          </w:tcPr>
          <w:p w14:paraId="4D8B0C5C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595" w:type="dxa"/>
          </w:tcPr>
          <w:p w14:paraId="6A65F691" w14:textId="6828898C" w:rsidR="0092540D" w:rsidRPr="00273047" w:rsidRDefault="0092540D" w:rsidP="000462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="0004621D">
              <w:rPr>
                <w:rFonts w:ascii="Arial" w:hAnsi="Arial" w:cs="Arial"/>
              </w:rPr>
              <w:t>7</w:t>
            </w:r>
          </w:p>
        </w:tc>
      </w:tr>
    </w:tbl>
    <w:p w14:paraId="77737429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233C3864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t xml:space="preserve">4.1.1. </w:t>
      </w:r>
      <w:r w:rsidRPr="00273047">
        <w:rPr>
          <w:rFonts w:ascii="Arial" w:hAnsi="Arial" w:cs="Arial"/>
          <w:color w:val="000000" w:themeColor="text1"/>
        </w:rPr>
        <w:t>Razvoj zavičajnog identiteta</w:t>
      </w:r>
    </w:p>
    <w:p w14:paraId="584C1298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97228E2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2B9753E0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069591D0" w14:textId="77777777" w:rsidTr="00AC77AE">
        <w:tc>
          <w:tcPr>
            <w:tcW w:w="4075" w:type="dxa"/>
            <w:vMerge w:val="restart"/>
          </w:tcPr>
          <w:p w14:paraId="67796FE5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8C694E2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354A8322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2024.</w:t>
            </w:r>
          </w:p>
        </w:tc>
      </w:tr>
      <w:tr w:rsidR="0092540D" w:rsidRPr="00273047" w14:paraId="7CCA019B" w14:textId="77777777" w:rsidTr="00AC77AE">
        <w:tc>
          <w:tcPr>
            <w:tcW w:w="4075" w:type="dxa"/>
            <w:vMerge/>
          </w:tcPr>
          <w:p w14:paraId="33077F9A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1B702C6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4F238E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7B7CC622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118EA01B" w14:textId="77777777" w:rsidTr="00AC77AE">
        <w:tc>
          <w:tcPr>
            <w:tcW w:w="4075" w:type="dxa"/>
          </w:tcPr>
          <w:p w14:paraId="6CAC8FDE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učenika kojima je osigurano svježe voće, mlijeko i mlječni proizvodi</w:t>
            </w:r>
          </w:p>
        </w:tc>
        <w:tc>
          <w:tcPr>
            <w:tcW w:w="1812" w:type="dxa"/>
          </w:tcPr>
          <w:p w14:paraId="33181B87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621" w:type="dxa"/>
          </w:tcPr>
          <w:p w14:paraId="3EE4E8D4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595" w:type="dxa"/>
          </w:tcPr>
          <w:p w14:paraId="6EC4DE3C" w14:textId="2C11CE5D" w:rsidR="0092540D" w:rsidRPr="00273047" w:rsidRDefault="0092540D" w:rsidP="000462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="0004621D">
              <w:rPr>
                <w:rFonts w:ascii="Arial" w:hAnsi="Arial" w:cs="Arial"/>
              </w:rPr>
              <w:t>7</w:t>
            </w:r>
          </w:p>
        </w:tc>
      </w:tr>
    </w:tbl>
    <w:p w14:paraId="27A0EC79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639CAE6E" w14:textId="77777777" w:rsidR="0092540D" w:rsidRPr="00CB7B70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2302: </w:t>
      </w:r>
      <w:r w:rsidRPr="00CB7B70">
        <w:rPr>
          <w:rFonts w:ascii="Arial" w:hAnsi="Arial" w:cs="Arial"/>
          <w:b/>
        </w:rPr>
        <w:t>PROGRAMI OBRAZOVANJA – IZNAD STANDARDA</w:t>
      </w:r>
    </w:p>
    <w:p w14:paraId="0CDC8EF3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0464C3B7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obuhvaća sljedeće aktivnosti:</w:t>
      </w:r>
    </w:p>
    <w:p w14:paraId="28B5093E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4430471F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p w14:paraId="4DDBC5C0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A230219 Uzorkovanje vode i upravljanje rizicima</w:t>
      </w:r>
    </w:p>
    <w:p w14:paraId="033E46FF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07365BDD" w14:textId="77777777" w:rsidR="0092540D" w:rsidRPr="00CB7B70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4B6EDBBE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76F0EA2B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13546298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27571525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52D3018F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03EFB1FB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1D8B944C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0EC4DE3C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318E673C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3F1B2E8E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>
        <w:rPr>
          <w:rFonts w:ascii="Arial" w:hAnsi="Arial" w:cs="Arial"/>
          <w:b/>
        </w:rPr>
        <w:t>AKTIVNOSTI</w:t>
      </w:r>
    </w:p>
    <w:p w14:paraId="10D5DB8D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77545B27" w14:textId="30E46CCF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Kroz aktivnost Građanskog odgo</w:t>
      </w:r>
      <w:r>
        <w:rPr>
          <w:rFonts w:ascii="Arial" w:hAnsi="Arial" w:cs="Arial"/>
        </w:rPr>
        <w:t>ja i obrazovanja učenike viših</w:t>
      </w:r>
      <w:r w:rsidRPr="00273047">
        <w:rPr>
          <w:rFonts w:ascii="Arial" w:hAnsi="Arial" w:cs="Arial"/>
        </w:rPr>
        <w:t xml:space="preserve"> razreda će se pripremiti za aktivno participiranje u aktivnom i modernom društvu. </w:t>
      </w:r>
      <w:r w:rsidRPr="00273047">
        <w:rPr>
          <w:rFonts w:ascii="Arial" w:eastAsia="Arial" w:hAnsi="Arial" w:cs="Arial"/>
        </w:rPr>
        <w:t>Građanskog odgoj  provodi se  u školskoj godini 202</w:t>
      </w:r>
      <w:r>
        <w:rPr>
          <w:rFonts w:ascii="Arial" w:eastAsia="Arial" w:hAnsi="Arial" w:cs="Arial"/>
        </w:rPr>
        <w:t>4</w:t>
      </w:r>
      <w:r w:rsidRPr="00273047">
        <w:rPr>
          <w:rFonts w:ascii="Arial" w:eastAsia="Arial" w:hAnsi="Arial" w:cs="Arial"/>
        </w:rPr>
        <w:t>/202</w:t>
      </w:r>
      <w:r>
        <w:rPr>
          <w:rFonts w:ascii="Arial" w:eastAsia="Arial" w:hAnsi="Arial" w:cs="Arial"/>
        </w:rPr>
        <w:t>5</w:t>
      </w:r>
      <w:r w:rsidR="0004621D">
        <w:rPr>
          <w:rFonts w:ascii="Arial" w:eastAsia="Arial" w:hAnsi="Arial" w:cs="Arial"/>
        </w:rPr>
        <w:t xml:space="preserve"> i 2025/2026</w:t>
      </w:r>
      <w:r w:rsidRPr="00273047">
        <w:rPr>
          <w:rFonts w:ascii="Arial" w:eastAsia="Arial" w:hAnsi="Arial" w:cs="Arial"/>
        </w:rPr>
        <w:t xml:space="preserve">. </w:t>
      </w:r>
      <w:r w:rsidRPr="00273047">
        <w:rPr>
          <w:rFonts w:ascii="Arial" w:hAnsi="Arial" w:cs="Arial"/>
        </w:rPr>
        <w:t>Građanski odgoj i obrazovanje obuhvaća upoznavanje s ljudskim pravima, vrijednostima i metodama građanskog odgoja, političku i medijsku pismenost te obrazovanje pr</w:t>
      </w:r>
      <w:r>
        <w:rPr>
          <w:rFonts w:ascii="Arial" w:hAnsi="Arial" w:cs="Arial"/>
        </w:rPr>
        <w:t>otiv korupcije.</w:t>
      </w:r>
    </w:p>
    <w:p w14:paraId="7A39EA70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p w14:paraId="1AE3D3E2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31444F0F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p w14:paraId="2499B0A4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Dostupnošću higijenskih uložaka za učenice osigurava se kvalitetno i sigurno okruženje, pogotovo kada su u pitanju osjetljive teme.</w:t>
      </w:r>
    </w:p>
    <w:p w14:paraId="4CC66E39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Aktivnost A230219 Uzorkovanje vode i upravljanje rizicima</w:t>
      </w:r>
    </w:p>
    <w:p w14:paraId="737F6DF3" w14:textId="77777777" w:rsidR="0092540D" w:rsidRPr="00817604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>Primarni cilj nadzora i ispitivan</w:t>
      </w:r>
      <w:r>
        <w:rPr>
          <w:rFonts w:ascii="Arial" w:hAnsi="Arial" w:cs="Arial"/>
        </w:rPr>
        <w:t>ja vode je zaštita zdravlja učenika i djelatnika škole.</w:t>
      </w:r>
    </w:p>
    <w:p w14:paraId="7AA9FD08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665D228D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1E0364CD" w14:textId="77777777" w:rsidR="0092540D" w:rsidRPr="00273047" w:rsidRDefault="0092540D" w:rsidP="0092540D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033EBD54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2.1.9. Ostale mjere iz samoupravnog djelokruga u području odgoja i obrazovanja.</w:t>
      </w:r>
    </w:p>
    <w:p w14:paraId="18F2037A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77C2F80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1236F341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611ECF77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7609F3AD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778A1ADE" w14:textId="77777777" w:rsidTr="00AC77AE">
        <w:tc>
          <w:tcPr>
            <w:tcW w:w="4075" w:type="dxa"/>
            <w:vMerge w:val="restart"/>
          </w:tcPr>
          <w:p w14:paraId="76D61FD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F8F8B64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10E3358D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29A7D878" w14:textId="77777777" w:rsidTr="00AC77AE">
        <w:tc>
          <w:tcPr>
            <w:tcW w:w="4075" w:type="dxa"/>
            <w:vMerge/>
          </w:tcPr>
          <w:p w14:paraId="08359CC8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0BCC47F3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6F0FDF5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564B812F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775AFD79" w14:textId="77777777" w:rsidTr="00AC77AE">
        <w:tc>
          <w:tcPr>
            <w:tcW w:w="4075" w:type="dxa"/>
          </w:tcPr>
          <w:p w14:paraId="272838C1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djece </w:t>
            </w:r>
            <w:r>
              <w:rPr>
                <w:rFonts w:ascii="Arial" w:hAnsi="Arial" w:cs="Arial"/>
              </w:rPr>
              <w:t>koja sudjeluju u aktivnosti</w:t>
            </w:r>
          </w:p>
        </w:tc>
        <w:tc>
          <w:tcPr>
            <w:tcW w:w="1812" w:type="dxa"/>
          </w:tcPr>
          <w:p w14:paraId="4D1610B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621" w:type="dxa"/>
          </w:tcPr>
          <w:p w14:paraId="628B2234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595" w:type="dxa"/>
          </w:tcPr>
          <w:p w14:paraId="0EABFECF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</w:tbl>
    <w:p w14:paraId="78BB0696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39F89D9B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4DC5739C" w14:textId="77777777" w:rsidTr="00AC77AE">
        <w:tc>
          <w:tcPr>
            <w:tcW w:w="4075" w:type="dxa"/>
            <w:vMerge w:val="restart"/>
          </w:tcPr>
          <w:p w14:paraId="11C3198E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4B812B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24B1A2F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6525F2E5" w14:textId="77777777" w:rsidTr="00AC77AE">
        <w:tc>
          <w:tcPr>
            <w:tcW w:w="4075" w:type="dxa"/>
            <w:vMerge/>
          </w:tcPr>
          <w:p w14:paraId="2AF10303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B0D4DAC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869B98B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1AFFDF4B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416346F5" w14:textId="77777777" w:rsidTr="00AC77AE">
        <w:tc>
          <w:tcPr>
            <w:tcW w:w="4075" w:type="dxa"/>
          </w:tcPr>
          <w:p w14:paraId="7BE4334C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prehrana</w:t>
            </w:r>
          </w:p>
        </w:tc>
        <w:tc>
          <w:tcPr>
            <w:tcW w:w="1812" w:type="dxa"/>
          </w:tcPr>
          <w:p w14:paraId="7C90F154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621" w:type="dxa"/>
          </w:tcPr>
          <w:p w14:paraId="5F871422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595" w:type="dxa"/>
          </w:tcPr>
          <w:p w14:paraId="5C1C367D" w14:textId="5C3FA443" w:rsidR="0092540D" w:rsidRPr="00273047" w:rsidRDefault="0092540D" w:rsidP="000462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621D">
              <w:rPr>
                <w:rFonts w:ascii="Arial" w:hAnsi="Arial" w:cs="Arial"/>
              </w:rPr>
              <w:t>17</w:t>
            </w:r>
          </w:p>
        </w:tc>
      </w:tr>
    </w:tbl>
    <w:p w14:paraId="18A5EDE9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30A4D35F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A230209 </w:t>
      </w:r>
      <w:bookmarkStart w:id="2" w:name="_Hlk193697722"/>
      <w:r>
        <w:rPr>
          <w:rFonts w:ascii="Arial" w:hAnsi="Arial" w:cs="Arial"/>
        </w:rPr>
        <w:t>Menstrualne higijenske potrepštine</w:t>
      </w:r>
      <w:bookmarkEnd w:id="2"/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3AB8721E" w14:textId="77777777" w:rsidTr="00AC77AE">
        <w:tc>
          <w:tcPr>
            <w:tcW w:w="4075" w:type="dxa"/>
            <w:vMerge w:val="restart"/>
          </w:tcPr>
          <w:p w14:paraId="3E4DA12E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32D27FE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366423A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268B460B" w14:textId="77777777" w:rsidTr="00AC77AE">
        <w:tc>
          <w:tcPr>
            <w:tcW w:w="4075" w:type="dxa"/>
            <w:vMerge/>
          </w:tcPr>
          <w:p w14:paraId="50FEC86E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95C1481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3C8B6BF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4BB980B4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24435718" w14:textId="77777777" w:rsidTr="00AC77AE">
        <w:tc>
          <w:tcPr>
            <w:tcW w:w="4075" w:type="dxa"/>
          </w:tcPr>
          <w:p w14:paraId="480AE6DE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</w:t>
            </w:r>
            <w:r>
              <w:rPr>
                <w:rFonts w:ascii="Arial" w:hAnsi="Arial" w:cs="Arial"/>
              </w:rPr>
              <w:t>učenica viših razreda</w:t>
            </w:r>
          </w:p>
        </w:tc>
        <w:tc>
          <w:tcPr>
            <w:tcW w:w="1812" w:type="dxa"/>
          </w:tcPr>
          <w:p w14:paraId="6547A87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621" w:type="dxa"/>
          </w:tcPr>
          <w:p w14:paraId="0915D012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595" w:type="dxa"/>
          </w:tcPr>
          <w:p w14:paraId="24DBEDED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14:paraId="5A1E257C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5190E3B5" w14:textId="77777777" w:rsidR="0092540D" w:rsidRDefault="0092540D" w:rsidP="0092540D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2401: INVESTICIJSKO ODRŽAVANJE OSNOVNIH ŠKOLA</w:t>
      </w:r>
    </w:p>
    <w:p w14:paraId="3E7C728B" w14:textId="77777777" w:rsidR="0092540D" w:rsidRDefault="0092540D" w:rsidP="0092540D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47430587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7137ED5F" w14:textId="77777777" w:rsidR="0092540D" w:rsidRPr="00CB7B70" w:rsidRDefault="0092540D" w:rsidP="0092540D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099A53D8" w14:textId="77777777" w:rsidR="0092540D" w:rsidRPr="00CB7B70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008F428A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12F85D09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5D15DEE3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2B148DC9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4E90159C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0899E75A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134D2DD5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12E3F875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EBF5D32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1E6725F3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OBRAZLOŽENJE AKTIVNOSTI</w:t>
      </w:r>
    </w:p>
    <w:p w14:paraId="7627AC7F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6B118071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su rebalansom prenamijenjena za drugog korisnika proračuna, tako da je došlo da smanjenja planiranog iznosa.</w:t>
      </w:r>
    </w:p>
    <w:p w14:paraId="19795614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5EE80DD0" w14:textId="77777777" w:rsidR="0092540D" w:rsidRDefault="0092540D" w:rsidP="0092540D">
      <w:pPr>
        <w:pStyle w:val="NoSpacing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CILJ USPJEŠNOSTI</w:t>
      </w:r>
    </w:p>
    <w:p w14:paraId="0766C885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>
        <w:rPr>
          <w:rFonts w:ascii="Arial" w:hAnsi="Arial" w:cs="Arial"/>
        </w:rPr>
        <w:t>2022</w:t>
      </w:r>
      <w:r>
        <w:rPr>
          <w:rFonts w:ascii="Arial" w:hAnsi="Arial" w:cs="Arial"/>
          <w:color w:val="000000" w:themeColor="text1"/>
        </w:rPr>
        <w:t xml:space="preserve">-2025. godine 2. Pametna regija znanja prepoznatljiva po visokoj kvaliteti života dostupnom obrazovanju i uključivosti. Strateški cilj SC: Obrazovani i zaposleni ljudi posebni </w:t>
      </w:r>
      <w:r>
        <w:rPr>
          <w:rFonts w:ascii="Arial" w:hAnsi="Arial" w:cs="Arial"/>
          <w:color w:val="000000" w:themeColor="text1"/>
        </w:rPr>
        <w:lastRenderedPageBreak/>
        <w:t>cilj 2.1. Osiguranje visokih standarda i dostupnosti obrazovanja, mjera 2.1.2.Osiguranje  poboljšanje dostupnosti odgoja i obrazovanja djeci i roditeljima/starateljima.</w:t>
      </w:r>
    </w:p>
    <w:p w14:paraId="0D2755A2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90CEDFC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4012B6FC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2902C49B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4A1B99E9" w14:textId="77777777" w:rsidTr="00AC77AE">
        <w:tc>
          <w:tcPr>
            <w:tcW w:w="4075" w:type="dxa"/>
            <w:vMerge w:val="restart"/>
          </w:tcPr>
          <w:p w14:paraId="6A3D26BA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703A528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71E3C57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3E14893B" w14:textId="77777777" w:rsidTr="00AC77AE">
        <w:tc>
          <w:tcPr>
            <w:tcW w:w="4075" w:type="dxa"/>
            <w:vMerge/>
          </w:tcPr>
          <w:p w14:paraId="1FEC494D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6C4D7A7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089202DB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64842F3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69871F88" w14:textId="77777777" w:rsidTr="00AC77AE">
        <w:tc>
          <w:tcPr>
            <w:tcW w:w="4075" w:type="dxa"/>
          </w:tcPr>
          <w:p w14:paraId="34E16903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468663FE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621" w:type="dxa"/>
          </w:tcPr>
          <w:p w14:paraId="2CB6E13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595" w:type="dxa"/>
          </w:tcPr>
          <w:p w14:paraId="7EE9C713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7FD19984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26FB597C" w14:textId="77777777" w:rsidR="0092540D" w:rsidRPr="00CB7B70" w:rsidRDefault="0092540D" w:rsidP="0092540D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2405: OPREMANJE U OSNOVNIM ŠKOLAMA</w:t>
      </w:r>
    </w:p>
    <w:p w14:paraId="13A4BFB1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Cs/>
        </w:rPr>
      </w:pPr>
    </w:p>
    <w:p w14:paraId="325AB461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</w:t>
      </w:r>
      <w:r>
        <w:rPr>
          <w:rFonts w:ascii="Arial" w:hAnsi="Arial" w:cs="Arial"/>
          <w:bCs/>
        </w:rPr>
        <w:t>01 Opremanje u osnovnim školama</w:t>
      </w:r>
    </w:p>
    <w:p w14:paraId="5CC6C73A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</w:rPr>
        <w:t>Aktivn</w:t>
      </w:r>
      <w:r>
        <w:rPr>
          <w:rFonts w:ascii="Arial" w:hAnsi="Arial" w:cs="Arial"/>
        </w:rPr>
        <w:t>ost K240502 Opremanje knjižnica</w:t>
      </w:r>
    </w:p>
    <w:p w14:paraId="50D5DBAE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bCs/>
        </w:rPr>
      </w:pPr>
    </w:p>
    <w:p w14:paraId="3759735C" w14:textId="77777777" w:rsidR="0092540D" w:rsidRPr="00CB7B70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7DAB5F65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27790C4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2FF97869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108D1962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101371C9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5500F3CD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2095D9C3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2FCFE2F6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5542B808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Cs/>
        </w:rPr>
      </w:pPr>
    </w:p>
    <w:p w14:paraId="7B9ADB60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73047">
        <w:rPr>
          <w:rFonts w:ascii="Arial" w:hAnsi="Arial" w:cs="Arial"/>
          <w:b/>
          <w:bCs/>
        </w:rPr>
        <w:t xml:space="preserve">OBRAZLOŽENJE </w:t>
      </w:r>
      <w:r>
        <w:rPr>
          <w:rFonts w:ascii="Arial" w:hAnsi="Arial" w:cs="Arial"/>
          <w:b/>
          <w:bCs/>
        </w:rPr>
        <w:t>AKTIVNOSTI</w:t>
      </w:r>
    </w:p>
    <w:p w14:paraId="7EDEF539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Radi nesmetanog i što kvalitetnijeg obrazovanja učenika, potrebno je imati što suvremenije opremljenu školu.</w:t>
      </w:r>
    </w:p>
    <w:p w14:paraId="4A727595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Cs/>
        </w:rPr>
      </w:pPr>
    </w:p>
    <w:p w14:paraId="2415A1EF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K240501 Opremanje u osnovnim školama – školski namještaj i oprema</w:t>
      </w:r>
    </w:p>
    <w:p w14:paraId="6CF20844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K240502 Opremanje knjižnica - opremanje školske knjižnice obveznom lektirom i stručnom literaturom. </w:t>
      </w:r>
    </w:p>
    <w:p w14:paraId="1C340C9F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13D4E33E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Kontinuirana i planska nabava lektirnih naslova u osnovnoškolskoj knjižnici ključna je za izgradnju knjižnog fonda koji će zadovoljiti obrazovne potrebe učenika, ali istovremeno ponuditi nove i zanimljive naslove koji će biti privlačni učenicima. Za nesmetano odvijanje školskih aktivnosti, kao i za stalno unapređenje kvalitete školovanja učenika i rada nastavnika, potrebno je kontinuirano pratiti zastarjelost opreme i raditi na uvođenju novih tehnologija i zamjeni dotrajale opreme i uređaja.</w:t>
      </w:r>
    </w:p>
    <w:p w14:paraId="691E6CD4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4F4200C5" w14:textId="77777777" w:rsidR="0092540D" w:rsidRPr="00273047" w:rsidRDefault="0092540D" w:rsidP="0092540D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322453CB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</w:t>
      </w:r>
    </w:p>
    <w:p w14:paraId="36AF5E80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0C9207B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3EEFC934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1006A46A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69DE3140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2.1.2. </w:t>
      </w:r>
      <w:r w:rsidRPr="00273047">
        <w:rPr>
          <w:rFonts w:ascii="Arial" w:hAnsi="Arial" w:cs="Arial"/>
          <w:color w:val="000000" w:themeColor="text1"/>
        </w:rPr>
        <w:t>Osiguranje  poboljšanje dostupnosti odgoja 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520A943A" w14:textId="77777777" w:rsidTr="00AC77AE">
        <w:tc>
          <w:tcPr>
            <w:tcW w:w="4075" w:type="dxa"/>
            <w:vMerge w:val="restart"/>
          </w:tcPr>
          <w:p w14:paraId="0C144DAD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lastRenderedPageBreak/>
              <w:t>Pokazatelj rezultata</w:t>
            </w:r>
          </w:p>
        </w:tc>
        <w:tc>
          <w:tcPr>
            <w:tcW w:w="1812" w:type="dxa"/>
            <w:vMerge w:val="restart"/>
          </w:tcPr>
          <w:p w14:paraId="01F4AF22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22EF513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26CB9F03" w14:textId="77777777" w:rsidTr="00AC77AE">
        <w:tc>
          <w:tcPr>
            <w:tcW w:w="4075" w:type="dxa"/>
            <w:vMerge/>
          </w:tcPr>
          <w:p w14:paraId="7AE5543A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ADD2922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17FE52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4285EC6B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75FF0103" w14:textId="77777777" w:rsidTr="00AC77AE">
        <w:tc>
          <w:tcPr>
            <w:tcW w:w="4075" w:type="dxa"/>
          </w:tcPr>
          <w:p w14:paraId="6C9FFD45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50C42F5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621" w:type="dxa"/>
          </w:tcPr>
          <w:p w14:paraId="1158C60B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595" w:type="dxa"/>
          </w:tcPr>
          <w:p w14:paraId="15B258A2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52D6B8D7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127DE78D" w14:textId="77777777" w:rsidR="0092540D" w:rsidRPr="00CB7B70" w:rsidRDefault="0092540D" w:rsidP="0092540D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9220: MOZAIK 7</w:t>
      </w:r>
    </w:p>
    <w:p w14:paraId="0328BEBA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4D29A961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Projektom se želi pomoći učenicima s teškoćama u razvoju koje ih sprječavaju u funkcioniranju bez pomoći pomoćnika u nastavi/stručnog komunikacijskog posrednika. </w:t>
      </w:r>
    </w:p>
    <w:p w14:paraId="5253D6D7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Plaće za učitelja, kao i sve naknade po kolektivnom ugovoru, financiraju se iz sredstava IŽ, a dio iz strukturnih fondova EU.</w:t>
      </w:r>
    </w:p>
    <w:p w14:paraId="7565D676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5EE15D55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T92</w:t>
      </w:r>
      <w:r>
        <w:rPr>
          <w:rFonts w:ascii="Arial" w:hAnsi="Arial" w:cs="Arial"/>
        </w:rPr>
        <w:t>2001</w:t>
      </w:r>
      <w:r w:rsidRPr="00273047">
        <w:rPr>
          <w:rFonts w:ascii="Arial" w:hAnsi="Arial" w:cs="Arial"/>
        </w:rPr>
        <w:t xml:space="preserve"> Provedba projekta Mozaik </w:t>
      </w:r>
      <w:r>
        <w:rPr>
          <w:rFonts w:ascii="Arial" w:hAnsi="Arial" w:cs="Arial"/>
        </w:rPr>
        <w:t>7</w:t>
      </w:r>
    </w:p>
    <w:p w14:paraId="06C67873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07077CD8" w14:textId="77777777" w:rsidR="0092540D" w:rsidRPr="00CB7B70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454D0C43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7DC3D1C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17211BB0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6C2FF179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064F9430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5F4B833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084B504D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4C54504C" w14:textId="77777777" w:rsidR="0092540D" w:rsidRPr="00CB7B70" w:rsidRDefault="0092540D" w:rsidP="0092540D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59994189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6773FB03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AKTIVNOSTI</w:t>
      </w:r>
    </w:p>
    <w:p w14:paraId="67717E8D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Kroz provedbu projekta Mozaik </w:t>
      </w:r>
      <w:r>
        <w:rPr>
          <w:rFonts w:ascii="Arial" w:hAnsi="Arial" w:cs="Arial"/>
        </w:rPr>
        <w:t>7</w:t>
      </w:r>
      <w:r w:rsidRPr="00273047">
        <w:rPr>
          <w:rFonts w:ascii="Arial" w:hAnsi="Arial" w:cs="Arial"/>
        </w:rPr>
        <w:t xml:space="preserve"> učenicima s teškoćama u razvoju omogućit će se lakše i bolje obrazovanje kroz pojačanu inkluzivnost u odgojno-obrazovne procese.</w:t>
      </w:r>
    </w:p>
    <w:p w14:paraId="0810C69C" w14:textId="77777777" w:rsidR="0092540D" w:rsidRDefault="0092540D" w:rsidP="0092540D">
      <w:pPr>
        <w:spacing w:after="0" w:line="240" w:lineRule="auto"/>
        <w:jc w:val="both"/>
        <w:rPr>
          <w:rFonts w:ascii="Arial" w:eastAsia="Calibri" w:hAnsi="Arial" w:cs="Arial"/>
        </w:rPr>
      </w:pPr>
    </w:p>
    <w:p w14:paraId="06A00AEB" w14:textId="77777777" w:rsidR="0092540D" w:rsidRPr="00273047" w:rsidRDefault="0092540D" w:rsidP="0092540D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44CF8E58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 i mjera 2.1.9. Ostale mjere iz samoupravnog djelokruga u području odgoja i obrazovanja.</w:t>
      </w:r>
    </w:p>
    <w:p w14:paraId="6994AFEA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82D9E12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915C7E4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33A26E3D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796BF006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3F9C5608" w14:textId="77777777" w:rsidTr="00AC77AE">
        <w:tc>
          <w:tcPr>
            <w:tcW w:w="4075" w:type="dxa"/>
            <w:vMerge w:val="restart"/>
          </w:tcPr>
          <w:p w14:paraId="3CE41C87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162734BF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791F44B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4E707B8D" w14:textId="77777777" w:rsidTr="00AC77AE">
        <w:tc>
          <w:tcPr>
            <w:tcW w:w="4075" w:type="dxa"/>
            <w:vMerge/>
          </w:tcPr>
          <w:p w14:paraId="6B9D4F3D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0CF5CB4D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4C85116E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27FA753D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6865824E" w14:textId="77777777" w:rsidTr="00AC77AE">
        <w:tc>
          <w:tcPr>
            <w:tcW w:w="4075" w:type="dxa"/>
          </w:tcPr>
          <w:p w14:paraId="4C40BA9F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</w:t>
            </w:r>
            <w:r>
              <w:rPr>
                <w:rFonts w:ascii="Arial" w:hAnsi="Arial" w:cs="Arial"/>
              </w:rPr>
              <w:t>o</w:t>
            </w:r>
            <w:r w:rsidRPr="00273047">
              <w:rPr>
                <w:rFonts w:ascii="Arial" w:hAnsi="Arial" w:cs="Arial"/>
              </w:rPr>
              <w:t>vanja</w:t>
            </w:r>
          </w:p>
        </w:tc>
        <w:tc>
          <w:tcPr>
            <w:tcW w:w="1812" w:type="dxa"/>
          </w:tcPr>
          <w:p w14:paraId="6A443CE7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621" w:type="dxa"/>
          </w:tcPr>
          <w:p w14:paraId="56E14D4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595" w:type="dxa"/>
          </w:tcPr>
          <w:p w14:paraId="1C5E4ABA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</w:tr>
    </w:tbl>
    <w:p w14:paraId="1944E825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  <w:b/>
        </w:rPr>
      </w:pPr>
    </w:p>
    <w:p w14:paraId="038A85F2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621"/>
        <w:gridCol w:w="1595"/>
      </w:tblGrid>
      <w:tr w:rsidR="0092540D" w:rsidRPr="00273047" w14:paraId="456A11C2" w14:textId="77777777" w:rsidTr="00AC77AE">
        <w:tc>
          <w:tcPr>
            <w:tcW w:w="4075" w:type="dxa"/>
            <w:vMerge w:val="restart"/>
          </w:tcPr>
          <w:p w14:paraId="744158B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9F599D0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2"/>
          </w:tcPr>
          <w:p w14:paraId="2E1A638E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Vrijednosti 2025.</w:t>
            </w:r>
          </w:p>
        </w:tc>
      </w:tr>
      <w:tr w:rsidR="0092540D" w:rsidRPr="00273047" w14:paraId="260D5B3E" w14:textId="77777777" w:rsidTr="00AC77AE">
        <w:tc>
          <w:tcPr>
            <w:tcW w:w="4075" w:type="dxa"/>
            <w:vMerge/>
          </w:tcPr>
          <w:p w14:paraId="11380AC8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2E026330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</w:tcPr>
          <w:p w14:paraId="2CA3FBAF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Ciljna</w:t>
            </w:r>
          </w:p>
        </w:tc>
        <w:tc>
          <w:tcPr>
            <w:tcW w:w="1595" w:type="dxa"/>
          </w:tcPr>
          <w:p w14:paraId="29FB3AD9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Ostvarena</w:t>
            </w:r>
          </w:p>
        </w:tc>
      </w:tr>
      <w:tr w:rsidR="0092540D" w:rsidRPr="00273047" w14:paraId="5534D4FF" w14:textId="77777777" w:rsidTr="00AC77AE">
        <w:tc>
          <w:tcPr>
            <w:tcW w:w="4075" w:type="dxa"/>
          </w:tcPr>
          <w:p w14:paraId="69722D24" w14:textId="77777777" w:rsidR="0092540D" w:rsidRPr="00273047" w:rsidRDefault="0092540D" w:rsidP="00AC77A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5C3AB331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621" w:type="dxa"/>
          </w:tcPr>
          <w:p w14:paraId="52F934F8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595" w:type="dxa"/>
          </w:tcPr>
          <w:p w14:paraId="3D71E396" w14:textId="77777777" w:rsidR="0092540D" w:rsidRPr="00273047" w:rsidRDefault="0092540D" w:rsidP="00AC77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66DC1CDE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2760E043" w14:textId="77777777" w:rsidR="00105301" w:rsidRDefault="00105301" w:rsidP="00105301">
      <w:pPr>
        <w:spacing w:after="0" w:line="240" w:lineRule="auto"/>
        <w:jc w:val="both"/>
        <w:rPr>
          <w:rFonts w:ascii="Arial" w:hAnsi="Arial" w:cs="Arial"/>
          <w:i/>
        </w:rPr>
      </w:pPr>
    </w:p>
    <w:p w14:paraId="254C4F82" w14:textId="3C623009" w:rsidR="0092540D" w:rsidRDefault="0092540D" w:rsidP="0092540D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Tijekom</w:t>
      </w:r>
      <w:r w:rsidRPr="00F41761">
        <w:rPr>
          <w:rFonts w:ascii="Arial" w:hAnsi="Arial" w:cs="Arial"/>
          <w:i/>
        </w:rPr>
        <w:t xml:space="preserve"> 202</w:t>
      </w:r>
      <w:r>
        <w:rPr>
          <w:rFonts w:ascii="Arial" w:hAnsi="Arial" w:cs="Arial"/>
          <w:i/>
        </w:rPr>
        <w:t>5</w:t>
      </w:r>
      <w:r w:rsidRPr="00F41761">
        <w:rPr>
          <w:rFonts w:ascii="Arial" w:hAnsi="Arial" w:cs="Arial"/>
          <w:i/>
        </w:rPr>
        <w:t>.g. Škola se nije zaduživala ni na domaćem ni na stranom tržištu novca i kapitala, stoga nema Izvještaja o zaduživanju na domaćem i stranom tržištu novca i kapitala.</w:t>
      </w:r>
    </w:p>
    <w:p w14:paraId="1DD99566" w14:textId="77777777" w:rsidR="00434AEA" w:rsidRDefault="00434AEA" w:rsidP="0092540D">
      <w:pPr>
        <w:spacing w:after="0" w:line="240" w:lineRule="auto"/>
        <w:jc w:val="both"/>
        <w:rPr>
          <w:rFonts w:ascii="Arial" w:hAnsi="Arial" w:cs="Arial"/>
          <w:i/>
        </w:rPr>
      </w:pPr>
    </w:p>
    <w:p w14:paraId="2CE21B2B" w14:textId="77777777" w:rsidR="00434AEA" w:rsidRDefault="00434AEA" w:rsidP="00434AEA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Tijekom 2024.g. škola nije koristila sredstva fondova Europske unije, te stoga nema Izvještaja o korištenju sredstva fondova Europske unije.</w:t>
      </w:r>
    </w:p>
    <w:p w14:paraId="48DC55A0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i/>
        </w:rPr>
      </w:pPr>
    </w:p>
    <w:p w14:paraId="47CDC779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  <w:i/>
        </w:rPr>
      </w:pPr>
      <w:r w:rsidRPr="008627F3">
        <w:rPr>
          <w:rFonts w:ascii="Arial" w:hAnsi="Arial" w:cs="Arial"/>
          <w:i/>
        </w:rPr>
        <w:t>Izvještaj o stanju potraživanja i dospjelim obvezama te o stanju potencijalnih obveza po osnovi sudskih sporova</w:t>
      </w:r>
    </w:p>
    <w:p w14:paraId="3C6A3976" w14:textId="77777777" w:rsidR="0092540D" w:rsidRPr="00105301" w:rsidRDefault="0092540D" w:rsidP="00105301">
      <w:pPr>
        <w:rPr>
          <w:rFonts w:ascii="Arial" w:hAnsi="Arial" w:cs="Arial"/>
        </w:rPr>
      </w:pPr>
    </w:p>
    <w:p w14:paraId="522B28CD" w14:textId="6ED4F88F" w:rsidR="0092540D" w:rsidRDefault="0092540D" w:rsidP="00105301">
      <w:pPr>
        <w:rPr>
          <w:rFonts w:ascii="Arial" w:hAnsi="Arial" w:cs="Arial"/>
        </w:rPr>
      </w:pPr>
      <w:r>
        <w:rPr>
          <w:rFonts w:ascii="Arial" w:hAnsi="Arial" w:cs="Arial"/>
        </w:rPr>
        <w:t>Stanje nenaplaćenih potraživanja za prihode na 3</w:t>
      </w:r>
      <w:r w:rsidR="00FE324D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E324D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.2025.g. je </w:t>
      </w:r>
      <w:r w:rsidR="00105301" w:rsidRPr="00105301">
        <w:rPr>
          <w:rFonts w:ascii="Arial" w:hAnsi="Arial" w:cs="Arial"/>
        </w:rPr>
        <w:t>74.694,12</w:t>
      </w:r>
      <w:r w:rsidRPr="00B840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eura. </w:t>
      </w:r>
      <w:r w:rsidR="00105301" w:rsidRPr="00105301">
        <w:rPr>
          <w:rFonts w:ascii="Arial" w:hAnsi="Arial" w:cs="Arial"/>
        </w:rPr>
        <w:t>Do znatnog povaćanja na ovoj poziciji došlo je radi iskazivanja rashoda za plaće za prosinac, a čiji će se prihodi ostvariti u siječnju sljedeće godine.</w:t>
      </w:r>
      <w:r w:rsidR="0010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Odnose se</w:t>
      </w:r>
      <w:r w:rsidR="00105301">
        <w:rPr>
          <w:rFonts w:ascii="Arial" w:hAnsi="Arial" w:cs="Arial"/>
        </w:rPr>
        <w:t xml:space="preserve"> također</w:t>
      </w:r>
      <w:r>
        <w:rPr>
          <w:rFonts w:ascii="Arial" w:hAnsi="Arial" w:cs="Arial"/>
        </w:rPr>
        <w:t xml:space="preserve"> na nenaplaćene prihode za produženi boravak, refundaciju materijalnih troškova vrtića i neisplaćene zahtjeve za sufinanciranje.</w:t>
      </w:r>
    </w:p>
    <w:p w14:paraId="28669F2D" w14:textId="77777777" w:rsidR="000D5EEF" w:rsidRDefault="000D5EEF" w:rsidP="000D5EEF">
      <w:r>
        <w:rPr>
          <w:rFonts w:ascii="Arial" w:hAnsi="Arial" w:cs="Arial"/>
        </w:rPr>
        <w:t xml:space="preserve">Stanje dospjelih obveza na </w:t>
      </w:r>
      <w:r w:rsidR="0092540D">
        <w:rPr>
          <w:rFonts w:ascii="Arial" w:hAnsi="Arial" w:cs="Arial"/>
        </w:rPr>
        <w:t xml:space="preserve"> 3</w:t>
      </w:r>
      <w:r w:rsidR="0092540D">
        <w:rPr>
          <w:rFonts w:ascii="Arial" w:hAnsi="Arial" w:cs="Arial"/>
        </w:rPr>
        <w:t>1</w:t>
      </w:r>
      <w:r w:rsidR="0092540D">
        <w:rPr>
          <w:rFonts w:ascii="Arial" w:hAnsi="Arial" w:cs="Arial"/>
        </w:rPr>
        <w:t>.</w:t>
      </w:r>
      <w:r w:rsidR="0092540D">
        <w:rPr>
          <w:rFonts w:ascii="Arial" w:hAnsi="Arial" w:cs="Arial"/>
        </w:rPr>
        <w:t>12</w:t>
      </w:r>
      <w:r w:rsidR="0092540D">
        <w:rPr>
          <w:rFonts w:ascii="Arial" w:hAnsi="Arial" w:cs="Arial"/>
        </w:rPr>
        <w:t xml:space="preserve">.2025.g. </w:t>
      </w:r>
      <w:r>
        <w:rPr>
          <w:rFonts w:ascii="Arial" w:hAnsi="Arial" w:cs="Arial"/>
        </w:rPr>
        <w:t xml:space="preserve">je </w:t>
      </w:r>
      <w:r w:rsidRPr="000D5EEF">
        <w:rPr>
          <w:rFonts w:ascii="Arial" w:hAnsi="Arial" w:cs="Arial"/>
        </w:rPr>
        <w:t>23.635,54</w:t>
      </w:r>
      <w:r>
        <w:rPr>
          <w:rFonts w:ascii="Arial" w:hAnsi="Arial" w:cs="Arial"/>
        </w:rPr>
        <w:t xml:space="preserve"> eura</w:t>
      </w:r>
      <w:r w:rsidR="009254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D5EEF">
        <w:rPr>
          <w:rFonts w:ascii="Arial" w:hAnsi="Arial" w:cs="Arial"/>
        </w:rPr>
        <w:t>Krajem studenog 2025.g. na informacijski sustav Istarske županije izvršen je kibernetički napad, zbog čega programi i aplikacije koji se koriste u računovodstvu i tajništvu nisu radili dulje vrijeme. Zbog navedenog je došlo do kašnjenja u podmirenju obveza, te su iste podmirene početkom 2026.g.</w:t>
      </w:r>
    </w:p>
    <w:p w14:paraId="5CC91E82" w14:textId="08E84FCE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2AA4397E" w14:textId="511F438F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Tijekom </w:t>
      </w:r>
      <w:r w:rsidR="00105301">
        <w:rPr>
          <w:rFonts w:ascii="Arial" w:hAnsi="Arial" w:cs="Arial"/>
        </w:rPr>
        <w:t>pret</w:t>
      </w:r>
      <w:r>
        <w:rPr>
          <w:rFonts w:ascii="Arial" w:hAnsi="Arial" w:cs="Arial"/>
        </w:rPr>
        <w:t>prošle godine isplaćene su posljednje obveze po sudskim sporovima, tako da više nema potencijalnih obveza po osnovi sudskih sporova u ovoj godini.</w:t>
      </w:r>
    </w:p>
    <w:p w14:paraId="793E6F8F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6B4ACA84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2F4816AD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7B9AB3E6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78F48293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M.P.</w:t>
      </w:r>
    </w:p>
    <w:p w14:paraId="574243B4" w14:textId="77777777" w:rsidR="0092540D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242C2570" w14:textId="3571623C" w:rsidR="0092540D" w:rsidRPr="008F3D2D" w:rsidRDefault="0092540D" w:rsidP="0092540D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2B7F">
        <w:rPr>
          <w:rFonts w:ascii="Arial" w:hAnsi="Arial" w:cs="Arial"/>
        </w:rPr>
        <w:t>Ravnatelj</w:t>
      </w:r>
      <w:r w:rsidRPr="008F3D2D">
        <w:rPr>
          <w:rFonts w:ascii="Arial" w:hAnsi="Arial" w:cs="Arial"/>
        </w:rPr>
        <w:t>:</w:t>
      </w:r>
    </w:p>
    <w:p w14:paraId="4CA4F362" w14:textId="09C06381" w:rsidR="0092540D" w:rsidRPr="008F3D2D" w:rsidRDefault="0092540D" w:rsidP="0092540D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8F3D2D">
        <w:rPr>
          <w:rFonts w:ascii="Arial" w:hAnsi="Arial" w:cs="Arial"/>
        </w:rPr>
        <w:tab/>
      </w:r>
      <w:r w:rsidR="001C2B7F">
        <w:rPr>
          <w:rFonts w:ascii="Arial" w:hAnsi="Arial" w:cs="Arial"/>
        </w:rPr>
        <w:t>Mladen Majušević, prof.</w:t>
      </w:r>
    </w:p>
    <w:p w14:paraId="6F19CB31" w14:textId="77777777" w:rsidR="0092540D" w:rsidRPr="00273047" w:rsidRDefault="0092540D" w:rsidP="0092540D">
      <w:pPr>
        <w:spacing w:after="0" w:line="240" w:lineRule="auto"/>
        <w:jc w:val="both"/>
        <w:rPr>
          <w:rFonts w:ascii="Arial" w:hAnsi="Arial" w:cs="Arial"/>
        </w:rPr>
      </w:pPr>
    </w:p>
    <w:p w14:paraId="3632DE59" w14:textId="77777777" w:rsidR="00A1753C" w:rsidRPr="00273047" w:rsidRDefault="00A1753C" w:rsidP="0092540D">
      <w:pPr>
        <w:spacing w:after="0" w:line="240" w:lineRule="auto"/>
        <w:jc w:val="both"/>
        <w:rPr>
          <w:rFonts w:ascii="Arial" w:hAnsi="Arial" w:cs="Arial"/>
        </w:rPr>
      </w:pPr>
    </w:p>
    <w:sectPr w:rsidR="00A1753C" w:rsidRPr="00273047" w:rsidSect="005C56FB">
      <w:footerReference w:type="default" r:id="rId11"/>
      <w:pgSz w:w="11906" w:h="16838"/>
      <w:pgMar w:top="1135" w:right="1417" w:bottom="1276" w:left="1417" w:header="708" w:footer="432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64AF2" w14:textId="77777777" w:rsidR="00413C09" w:rsidRDefault="00413C09" w:rsidP="00E30473">
      <w:pPr>
        <w:spacing w:after="0" w:line="240" w:lineRule="auto"/>
      </w:pPr>
      <w:r>
        <w:separator/>
      </w:r>
    </w:p>
  </w:endnote>
  <w:endnote w:type="continuationSeparator" w:id="0">
    <w:p w14:paraId="4BB0069B" w14:textId="77777777" w:rsidR="00413C09" w:rsidRDefault="00413C09" w:rsidP="00E3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205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71E7F" w14:textId="77777777" w:rsidR="0006618C" w:rsidRDefault="0006618C">
        <w:pPr>
          <w:pStyle w:val="Footer"/>
          <w:jc w:val="center"/>
        </w:pPr>
      </w:p>
      <w:p w14:paraId="1767781D" w14:textId="77777777" w:rsidR="0006618C" w:rsidRDefault="0006618C" w:rsidP="00B71C7E">
        <w:pPr>
          <w:pStyle w:val="Footer"/>
          <w:jc w:val="center"/>
        </w:pPr>
        <w:r>
          <w:t>Stranica</w:t>
        </w:r>
      </w:p>
      <w:p w14:paraId="709AE64C" w14:textId="3268C4E1" w:rsidR="0006618C" w:rsidRDefault="000661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6F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7AF6F75" w14:textId="77777777" w:rsidR="0006618C" w:rsidRDefault="0006618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EEC8E" w14:textId="77777777" w:rsidR="00413C09" w:rsidRDefault="00413C09" w:rsidP="00E30473">
      <w:pPr>
        <w:spacing w:after="0" w:line="240" w:lineRule="auto"/>
      </w:pPr>
      <w:r>
        <w:separator/>
      </w:r>
    </w:p>
  </w:footnote>
  <w:footnote w:type="continuationSeparator" w:id="0">
    <w:p w14:paraId="72525571" w14:textId="77777777" w:rsidR="00413C09" w:rsidRDefault="00413C09" w:rsidP="00E3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4F8"/>
    <w:multiLevelType w:val="hybridMultilevel"/>
    <w:tmpl w:val="43A22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20F1"/>
    <w:multiLevelType w:val="multilevel"/>
    <w:tmpl w:val="8E34E2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8C73C7"/>
    <w:multiLevelType w:val="hybridMultilevel"/>
    <w:tmpl w:val="D4C06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D5130"/>
    <w:multiLevelType w:val="hybridMultilevel"/>
    <w:tmpl w:val="0CD0DE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E8"/>
    <w:rsid w:val="00010B6A"/>
    <w:rsid w:val="0001516E"/>
    <w:rsid w:val="000230F0"/>
    <w:rsid w:val="00030C0E"/>
    <w:rsid w:val="0004621D"/>
    <w:rsid w:val="000469E8"/>
    <w:rsid w:val="0006618C"/>
    <w:rsid w:val="000D5EEF"/>
    <w:rsid w:val="000F11CC"/>
    <w:rsid w:val="000F6006"/>
    <w:rsid w:val="00105301"/>
    <w:rsid w:val="001127E9"/>
    <w:rsid w:val="001622CD"/>
    <w:rsid w:val="001A5B78"/>
    <w:rsid w:val="001C2B7F"/>
    <w:rsid w:val="001D56EF"/>
    <w:rsid w:val="001D6CC5"/>
    <w:rsid w:val="001F013E"/>
    <w:rsid w:val="001F0888"/>
    <w:rsid w:val="00201C53"/>
    <w:rsid w:val="002032AB"/>
    <w:rsid w:val="00216FCF"/>
    <w:rsid w:val="002172D4"/>
    <w:rsid w:val="00221B81"/>
    <w:rsid w:val="0022729F"/>
    <w:rsid w:val="0023321A"/>
    <w:rsid w:val="00273047"/>
    <w:rsid w:val="002772AA"/>
    <w:rsid w:val="002A54C2"/>
    <w:rsid w:val="002C2344"/>
    <w:rsid w:val="002F4A36"/>
    <w:rsid w:val="002F59D1"/>
    <w:rsid w:val="00307600"/>
    <w:rsid w:val="003109D3"/>
    <w:rsid w:val="0031566C"/>
    <w:rsid w:val="00325317"/>
    <w:rsid w:val="00335EC0"/>
    <w:rsid w:val="00341A6E"/>
    <w:rsid w:val="00352681"/>
    <w:rsid w:val="00357B61"/>
    <w:rsid w:val="00375755"/>
    <w:rsid w:val="0038167E"/>
    <w:rsid w:val="00392FA1"/>
    <w:rsid w:val="003A60B0"/>
    <w:rsid w:val="003C7EF2"/>
    <w:rsid w:val="003E2391"/>
    <w:rsid w:val="003E4434"/>
    <w:rsid w:val="0040732E"/>
    <w:rsid w:val="00413C09"/>
    <w:rsid w:val="0041511E"/>
    <w:rsid w:val="00415146"/>
    <w:rsid w:val="00416F22"/>
    <w:rsid w:val="00434AEA"/>
    <w:rsid w:val="0043625A"/>
    <w:rsid w:val="0044170D"/>
    <w:rsid w:val="00464C66"/>
    <w:rsid w:val="00467410"/>
    <w:rsid w:val="00472FDE"/>
    <w:rsid w:val="00480DCC"/>
    <w:rsid w:val="00482DEC"/>
    <w:rsid w:val="00492165"/>
    <w:rsid w:val="004A3E0B"/>
    <w:rsid w:val="004B250D"/>
    <w:rsid w:val="004C46BC"/>
    <w:rsid w:val="004C4EB7"/>
    <w:rsid w:val="004C51AC"/>
    <w:rsid w:val="004E533D"/>
    <w:rsid w:val="00504BE4"/>
    <w:rsid w:val="0053026C"/>
    <w:rsid w:val="005354D3"/>
    <w:rsid w:val="00572306"/>
    <w:rsid w:val="00591251"/>
    <w:rsid w:val="005960A2"/>
    <w:rsid w:val="00596507"/>
    <w:rsid w:val="005C56FB"/>
    <w:rsid w:val="005C7B15"/>
    <w:rsid w:val="005D05DA"/>
    <w:rsid w:val="005D66B8"/>
    <w:rsid w:val="005F0C84"/>
    <w:rsid w:val="005F4151"/>
    <w:rsid w:val="00615BC9"/>
    <w:rsid w:val="00620E85"/>
    <w:rsid w:val="00643E67"/>
    <w:rsid w:val="00680EFA"/>
    <w:rsid w:val="00691196"/>
    <w:rsid w:val="00692B66"/>
    <w:rsid w:val="00695B72"/>
    <w:rsid w:val="006D7226"/>
    <w:rsid w:val="006E40FF"/>
    <w:rsid w:val="006F5B6B"/>
    <w:rsid w:val="00726C10"/>
    <w:rsid w:val="007537D3"/>
    <w:rsid w:val="007651CC"/>
    <w:rsid w:val="00797831"/>
    <w:rsid w:val="007A0FAB"/>
    <w:rsid w:val="007D119D"/>
    <w:rsid w:val="007D396F"/>
    <w:rsid w:val="00817604"/>
    <w:rsid w:val="00834A4B"/>
    <w:rsid w:val="0084266C"/>
    <w:rsid w:val="00851CB9"/>
    <w:rsid w:val="00877980"/>
    <w:rsid w:val="00892D36"/>
    <w:rsid w:val="008B0C74"/>
    <w:rsid w:val="008B4F3C"/>
    <w:rsid w:val="008C50AC"/>
    <w:rsid w:val="008F3D2D"/>
    <w:rsid w:val="009001A2"/>
    <w:rsid w:val="00900C27"/>
    <w:rsid w:val="0092540D"/>
    <w:rsid w:val="00937E30"/>
    <w:rsid w:val="00964CB3"/>
    <w:rsid w:val="009D2082"/>
    <w:rsid w:val="009E134C"/>
    <w:rsid w:val="009F5844"/>
    <w:rsid w:val="00A156D5"/>
    <w:rsid w:val="00A1753C"/>
    <w:rsid w:val="00A4235B"/>
    <w:rsid w:val="00A64EA8"/>
    <w:rsid w:val="00A75A3C"/>
    <w:rsid w:val="00A965FA"/>
    <w:rsid w:val="00AC5C78"/>
    <w:rsid w:val="00AF460F"/>
    <w:rsid w:val="00B11090"/>
    <w:rsid w:val="00B71C7E"/>
    <w:rsid w:val="00B840FC"/>
    <w:rsid w:val="00BB5AF1"/>
    <w:rsid w:val="00BC1E08"/>
    <w:rsid w:val="00BC6349"/>
    <w:rsid w:val="00BC7FBA"/>
    <w:rsid w:val="00BD1854"/>
    <w:rsid w:val="00BF294D"/>
    <w:rsid w:val="00BF2D07"/>
    <w:rsid w:val="00C0144E"/>
    <w:rsid w:val="00C250CC"/>
    <w:rsid w:val="00C50394"/>
    <w:rsid w:val="00C74F1C"/>
    <w:rsid w:val="00CB7B70"/>
    <w:rsid w:val="00CB7D98"/>
    <w:rsid w:val="00CC76F5"/>
    <w:rsid w:val="00CD2B77"/>
    <w:rsid w:val="00CD7D43"/>
    <w:rsid w:val="00CE2965"/>
    <w:rsid w:val="00CE3AF0"/>
    <w:rsid w:val="00CE6A74"/>
    <w:rsid w:val="00CF65EA"/>
    <w:rsid w:val="00D05902"/>
    <w:rsid w:val="00D237A9"/>
    <w:rsid w:val="00D26A2C"/>
    <w:rsid w:val="00D60AF4"/>
    <w:rsid w:val="00D63365"/>
    <w:rsid w:val="00D7322F"/>
    <w:rsid w:val="00D7347E"/>
    <w:rsid w:val="00D93299"/>
    <w:rsid w:val="00DA3830"/>
    <w:rsid w:val="00DB1CEE"/>
    <w:rsid w:val="00DB2095"/>
    <w:rsid w:val="00DD2140"/>
    <w:rsid w:val="00DF0688"/>
    <w:rsid w:val="00E0029D"/>
    <w:rsid w:val="00E30473"/>
    <w:rsid w:val="00E33D18"/>
    <w:rsid w:val="00E9273E"/>
    <w:rsid w:val="00EE08BA"/>
    <w:rsid w:val="00EF2645"/>
    <w:rsid w:val="00EF4D3E"/>
    <w:rsid w:val="00F02E45"/>
    <w:rsid w:val="00F109B3"/>
    <w:rsid w:val="00F11097"/>
    <w:rsid w:val="00F24680"/>
    <w:rsid w:val="00F27053"/>
    <w:rsid w:val="00F301F2"/>
    <w:rsid w:val="00F31909"/>
    <w:rsid w:val="00F3364B"/>
    <w:rsid w:val="00F344E3"/>
    <w:rsid w:val="00F66FBD"/>
    <w:rsid w:val="00F67F30"/>
    <w:rsid w:val="00F77649"/>
    <w:rsid w:val="00FB3BD9"/>
    <w:rsid w:val="00FD10F0"/>
    <w:rsid w:val="00FE22F2"/>
    <w:rsid w:val="00FE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FC5F3"/>
  <w15:chartTrackingRefBased/>
  <w15:docId w15:val="{6AAD4EAC-DDDE-4D33-98D1-A97B61FA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F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2172D4"/>
    <w:rPr>
      <w:rFonts w:ascii="Calibri" w:eastAsia="Calibri" w:hAnsi="Calibri"/>
    </w:rPr>
  </w:style>
  <w:style w:type="paragraph" w:styleId="NoSpacing">
    <w:name w:val="No Spacing"/>
    <w:link w:val="NoSpacingChar"/>
    <w:uiPriority w:val="1"/>
    <w:qFormat/>
    <w:rsid w:val="002172D4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7A0F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473"/>
  </w:style>
  <w:style w:type="paragraph" w:styleId="Footer">
    <w:name w:val="footer"/>
    <w:basedOn w:val="Normal"/>
    <w:link w:val="Foot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473"/>
  </w:style>
  <w:style w:type="table" w:styleId="TableGrid">
    <w:name w:val="Table Grid"/>
    <w:basedOn w:val="TableNormal"/>
    <w:uiPriority w:val="39"/>
    <w:rsid w:val="00D2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D2B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9FD6D6CB79D42AA7206A1AE76DD89" ma:contentTypeVersion="10" ma:contentTypeDescription="Create a new document." ma:contentTypeScope="" ma:versionID="2fe76af7047901e292b01f7cf476284f">
  <xsd:schema xmlns:xsd="http://www.w3.org/2001/XMLSchema" xmlns:xs="http://www.w3.org/2001/XMLSchema" xmlns:p="http://schemas.microsoft.com/office/2006/metadata/properties" xmlns:ns3="5649b170-731a-4007-9c05-a41f6a9d5b36" xmlns:ns4="4e75bda0-c203-4fe3-aada-f2caa72d53fb" targetNamespace="http://schemas.microsoft.com/office/2006/metadata/properties" ma:root="true" ma:fieldsID="50f23b8df2e3a7bac962e670665c4d3c" ns3:_="" ns4:_="">
    <xsd:import namespace="5649b170-731a-4007-9c05-a41f6a9d5b36"/>
    <xsd:import namespace="4e75bda0-c203-4fe3-aada-f2caa72d53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b170-731a-4007-9c05-a41f6a9d5b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bda0-c203-4fe3-aada-f2caa72d5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F946-A440-458E-9A3C-E0D3C2C1B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262590-E0AE-44BC-AB75-82C20605E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6738F-5087-4894-99FE-BF23E3366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b170-731a-4007-9c05-a41f6a9d5b36"/>
    <ds:schemaRef ds:uri="4e75bda0-c203-4fe3-aada-f2caa72d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EBD8E9-F884-4B38-83D4-5EE5B0B9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3735</Words>
  <Characters>21292</Characters>
  <Application>Microsoft Office Word</Application>
  <DocSecurity>0</DocSecurity>
  <Lines>177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2022-07-28T12:28:00Z</cp:lastPrinted>
  <dcterms:created xsi:type="dcterms:W3CDTF">2026-03-25T07:45:00Z</dcterms:created>
  <dcterms:modified xsi:type="dcterms:W3CDTF">2026-03-25T09:15:00Z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0x01010082C9FD6D6CB79D42AA7206A1AE76DD89</vt:lpwstr>
  </property>
</Properties>
</file>